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0FE4EA45" w:rsidR="00E66558" w:rsidRDefault="00390375">
      <w:pPr>
        <w:pStyle w:val="Heading1"/>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59264" behindDoc="1" locked="0" layoutInCell="1" allowOverlap="1" wp14:anchorId="4DAB4C36" wp14:editId="5F8E0ED5">
            <wp:simplePos x="0" y="0"/>
            <wp:positionH relativeFrom="column">
              <wp:posOffset>5074920</wp:posOffset>
            </wp:positionH>
            <wp:positionV relativeFrom="paragraph">
              <wp:posOffset>102870</wp:posOffset>
            </wp:positionV>
            <wp:extent cx="1078230" cy="1078230"/>
            <wp:effectExtent l="0" t="0" r="7620" b="7620"/>
            <wp:wrapTight wrapText="bothSides">
              <wp:wrapPolygon edited="0">
                <wp:start x="0" y="0"/>
                <wp:lineTo x="0" y="21371"/>
                <wp:lineTo x="21371" y="21371"/>
                <wp:lineTo x="21371" y="0"/>
                <wp:lineTo x="0" y="0"/>
              </wp:wrapPolygon>
            </wp:wrapTight>
            <wp:docPr id="2" name="Picture 2" descr="C:\Users\teacher\AppData\Local\Microsoft\Windows\Temporary Internet Files\Low\Content.IE5\VNQLTBS7\Urchfont_School_Logo_Circular[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Temporary Internet Files\Low\Content.IE5\VNQLTBS7\Urchfont_School_Logo_Circular[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Urchfont CE Primary School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370D174"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3189608A" w14:textId="77777777" w:rsidR="00224FCD" w:rsidRDefault="009D71E8" w:rsidP="00224FCD">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681CBCF1" w:rsidR="00E66558" w:rsidRPr="00224FCD" w:rsidRDefault="009D71E8" w:rsidP="00224FCD">
      <w:pPr>
        <w:pStyle w:val="Heading2"/>
        <w:spacing w:before="240"/>
        <w:rPr>
          <w:b w:val="0"/>
          <w:bCs/>
          <w:color w:val="auto"/>
          <w:sz w:val="24"/>
          <w:szCs w:val="24"/>
        </w:rPr>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224FCD" w:rsidRDefault="009D71E8">
            <w:pPr>
              <w:pStyle w:val="TableRow"/>
              <w:rPr>
                <w:sz w:val="22"/>
                <w:szCs w:val="22"/>
              </w:rPr>
            </w:pPr>
            <w:r w:rsidRPr="00224FCD">
              <w:rPr>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61AD1F9" w:rsidR="00E66558" w:rsidRPr="00224FCD" w:rsidRDefault="00417BF8">
            <w:pPr>
              <w:pStyle w:val="TableRow"/>
              <w:rPr>
                <w:sz w:val="22"/>
                <w:szCs w:val="22"/>
              </w:rPr>
            </w:pPr>
            <w:r w:rsidRPr="00224FCD">
              <w:rPr>
                <w:sz w:val="22"/>
                <w:szCs w:val="22"/>
              </w:rPr>
              <w:t xml:space="preserve">Urchfont CE Primary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224FCD" w:rsidRDefault="009D71E8">
            <w:pPr>
              <w:pStyle w:val="TableRow"/>
              <w:rPr>
                <w:sz w:val="22"/>
                <w:szCs w:val="22"/>
              </w:rPr>
            </w:pPr>
            <w:r w:rsidRPr="00224FCD">
              <w:rPr>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AF76E53" w:rsidR="00E66558" w:rsidRPr="00224FCD" w:rsidRDefault="00417BF8">
            <w:pPr>
              <w:pStyle w:val="TableRow"/>
              <w:rPr>
                <w:sz w:val="22"/>
                <w:szCs w:val="22"/>
              </w:rPr>
            </w:pPr>
            <w:r w:rsidRPr="00224FCD">
              <w:rPr>
                <w:sz w:val="22"/>
                <w:szCs w:val="22"/>
              </w:rPr>
              <w:t>96</w:t>
            </w:r>
            <w:r w:rsidR="00612785" w:rsidRPr="00224FCD">
              <w:rPr>
                <w:sz w:val="22"/>
                <w:szCs w:val="22"/>
              </w:rPr>
              <w:t xml:space="preserve"> (Sept 2021)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224FCD" w:rsidRDefault="009D71E8">
            <w:pPr>
              <w:pStyle w:val="TableRow"/>
              <w:rPr>
                <w:sz w:val="22"/>
                <w:szCs w:val="22"/>
              </w:rPr>
            </w:pPr>
            <w:r w:rsidRPr="00224FCD">
              <w:rPr>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F73B8" w14:textId="1E8B6115" w:rsidR="00E66558" w:rsidRPr="00224FCD" w:rsidRDefault="000D6708">
            <w:pPr>
              <w:pStyle w:val="TableRow"/>
              <w:rPr>
                <w:sz w:val="22"/>
                <w:szCs w:val="22"/>
              </w:rPr>
            </w:pPr>
            <w:r w:rsidRPr="00224FCD">
              <w:rPr>
                <w:sz w:val="22"/>
                <w:szCs w:val="22"/>
              </w:rPr>
              <w:t>16.7</w:t>
            </w:r>
            <w:r w:rsidR="00612785" w:rsidRPr="00224FCD">
              <w:rPr>
                <w:sz w:val="22"/>
                <w:szCs w:val="22"/>
              </w:rPr>
              <w:t>% -Sept 2021</w:t>
            </w:r>
          </w:p>
          <w:p w14:paraId="2B4F4E71" w14:textId="642E174F" w:rsidR="00612785" w:rsidRPr="00224FCD" w:rsidRDefault="000D6708">
            <w:pPr>
              <w:pStyle w:val="TableRow"/>
              <w:rPr>
                <w:sz w:val="22"/>
                <w:szCs w:val="22"/>
              </w:rPr>
            </w:pPr>
            <w:r w:rsidRPr="00224FCD">
              <w:rPr>
                <w:sz w:val="22"/>
                <w:szCs w:val="22"/>
              </w:rPr>
              <w:t>8.3</w:t>
            </w:r>
            <w:r w:rsidR="00612785" w:rsidRPr="00224FCD">
              <w:rPr>
                <w:sz w:val="22"/>
                <w:szCs w:val="22"/>
              </w:rPr>
              <w:t>% - FSM</w:t>
            </w:r>
          </w:p>
          <w:p w14:paraId="57411EB8" w14:textId="40344F18" w:rsidR="000D6708" w:rsidRPr="00224FCD" w:rsidRDefault="000D6708">
            <w:pPr>
              <w:pStyle w:val="TableRow"/>
              <w:rPr>
                <w:sz w:val="22"/>
                <w:szCs w:val="22"/>
              </w:rPr>
            </w:pPr>
            <w:r w:rsidRPr="00224FCD">
              <w:rPr>
                <w:sz w:val="22"/>
                <w:szCs w:val="22"/>
              </w:rPr>
              <w:t>0.01% - FSM6</w:t>
            </w:r>
          </w:p>
          <w:p w14:paraId="08BD7686" w14:textId="77777777" w:rsidR="00612785" w:rsidRPr="00224FCD" w:rsidRDefault="00612785">
            <w:pPr>
              <w:pStyle w:val="TableRow"/>
              <w:rPr>
                <w:sz w:val="22"/>
                <w:szCs w:val="22"/>
              </w:rPr>
            </w:pPr>
            <w:r w:rsidRPr="00224FCD">
              <w:rPr>
                <w:sz w:val="22"/>
                <w:szCs w:val="22"/>
              </w:rPr>
              <w:t>6.4% - Service</w:t>
            </w:r>
          </w:p>
          <w:p w14:paraId="554BEB3A" w14:textId="77777777" w:rsidR="00612785" w:rsidRPr="00224FCD" w:rsidRDefault="00612785">
            <w:pPr>
              <w:pStyle w:val="TableRow"/>
              <w:rPr>
                <w:sz w:val="22"/>
                <w:szCs w:val="22"/>
              </w:rPr>
            </w:pPr>
            <w:r w:rsidRPr="00224FCD">
              <w:rPr>
                <w:sz w:val="22"/>
                <w:szCs w:val="22"/>
              </w:rPr>
              <w:t>0.01% - Adoption</w:t>
            </w:r>
          </w:p>
          <w:p w14:paraId="12CB1373" w14:textId="5EEB1E95" w:rsidR="00612785" w:rsidRPr="00224FCD" w:rsidRDefault="00612785">
            <w:pPr>
              <w:pStyle w:val="TableRow"/>
              <w:rPr>
                <w:sz w:val="22"/>
                <w:szCs w:val="22"/>
              </w:rPr>
            </w:pPr>
            <w:r w:rsidRPr="00224FCD">
              <w:rPr>
                <w:sz w:val="22"/>
                <w:szCs w:val="22"/>
              </w:rPr>
              <w:t>0 - LAC</w:t>
            </w:r>
          </w:p>
          <w:p w14:paraId="2A7D54BF" w14:textId="3D958FB7" w:rsidR="00612785" w:rsidRPr="00224FCD" w:rsidRDefault="00612785">
            <w:pPr>
              <w:pStyle w:val="TableRow"/>
              <w:rPr>
                <w:sz w:val="22"/>
                <w:szCs w:val="22"/>
              </w:rPr>
            </w:pPr>
            <w:r w:rsidRPr="00224FCD">
              <w:rPr>
                <w:sz w:val="22"/>
                <w:szCs w:val="22"/>
              </w:rPr>
              <w:t>0 - EAL</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224FCD" w:rsidRDefault="009D71E8">
            <w:pPr>
              <w:pStyle w:val="TableRow"/>
              <w:rPr>
                <w:sz w:val="22"/>
                <w:szCs w:val="22"/>
              </w:rPr>
            </w:pPr>
            <w:r w:rsidRPr="00224FCD">
              <w:rPr>
                <w:sz w:val="22"/>
                <w:szCs w:val="22"/>
              </w:rPr>
              <w:t xml:space="preserve">Academic year/years that our current pupil premium strategy plan covers </w:t>
            </w:r>
            <w:r w:rsidRPr="00224FCD">
              <w:rPr>
                <w:b/>
                <w:bCs/>
                <w:sz w:val="22"/>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FCBCCBC" w:rsidR="00E66558" w:rsidRPr="00224FCD" w:rsidRDefault="00612785">
            <w:pPr>
              <w:pStyle w:val="TableRow"/>
              <w:rPr>
                <w:sz w:val="22"/>
                <w:szCs w:val="22"/>
              </w:rPr>
            </w:pPr>
            <w:r w:rsidRPr="00224FCD">
              <w:rPr>
                <w:sz w:val="22"/>
                <w:szCs w:val="22"/>
              </w:rPr>
              <w:t>2021- 2024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224FCD" w:rsidRDefault="009D71E8">
            <w:pPr>
              <w:pStyle w:val="TableRow"/>
              <w:rPr>
                <w:sz w:val="22"/>
                <w:szCs w:val="22"/>
              </w:rPr>
            </w:pPr>
            <w:r w:rsidRPr="00224FCD">
              <w:rPr>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3A5E034" w:rsidR="00E66558" w:rsidRPr="00224FCD" w:rsidRDefault="00612785">
            <w:pPr>
              <w:pStyle w:val="TableRow"/>
              <w:rPr>
                <w:sz w:val="22"/>
                <w:szCs w:val="22"/>
              </w:rPr>
            </w:pPr>
            <w:r w:rsidRPr="00224FCD">
              <w:rPr>
                <w:sz w:val="22"/>
                <w:szCs w:val="22"/>
              </w:rPr>
              <w:t>September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224FCD" w:rsidRDefault="009D71E8">
            <w:pPr>
              <w:pStyle w:val="TableRow"/>
              <w:rPr>
                <w:sz w:val="22"/>
                <w:szCs w:val="22"/>
              </w:rPr>
            </w:pPr>
            <w:r w:rsidRPr="00224FCD">
              <w:rPr>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A608822" w:rsidR="00E66558" w:rsidRPr="00224FCD" w:rsidRDefault="00612785">
            <w:pPr>
              <w:pStyle w:val="TableRow"/>
              <w:rPr>
                <w:sz w:val="22"/>
                <w:szCs w:val="22"/>
              </w:rPr>
            </w:pPr>
            <w:r w:rsidRPr="00224FCD">
              <w:rPr>
                <w:sz w:val="22"/>
                <w:szCs w:val="22"/>
              </w:rPr>
              <w:t>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224FCD" w:rsidRDefault="009D71E8">
            <w:pPr>
              <w:pStyle w:val="TableRow"/>
              <w:rPr>
                <w:sz w:val="22"/>
                <w:szCs w:val="22"/>
              </w:rPr>
            </w:pPr>
            <w:r w:rsidRPr="00224FCD">
              <w:rPr>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7C8A3AE" w:rsidR="00E66558" w:rsidRPr="00224FCD" w:rsidRDefault="00612785">
            <w:pPr>
              <w:pStyle w:val="TableRow"/>
              <w:rPr>
                <w:sz w:val="22"/>
                <w:szCs w:val="22"/>
              </w:rPr>
            </w:pPr>
            <w:r w:rsidRPr="00224FCD">
              <w:rPr>
                <w:sz w:val="22"/>
                <w:szCs w:val="22"/>
              </w:rPr>
              <w:t>Mrs Carol Talbot</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224FCD" w:rsidRDefault="009D71E8">
            <w:pPr>
              <w:pStyle w:val="TableRow"/>
              <w:rPr>
                <w:sz w:val="22"/>
                <w:szCs w:val="22"/>
              </w:rPr>
            </w:pPr>
            <w:r w:rsidRPr="00224FCD">
              <w:rPr>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83077E9" w:rsidR="00E66558" w:rsidRPr="00224FCD" w:rsidRDefault="00612785">
            <w:pPr>
              <w:pStyle w:val="TableRow"/>
              <w:rPr>
                <w:sz w:val="22"/>
                <w:szCs w:val="22"/>
              </w:rPr>
            </w:pPr>
            <w:r w:rsidRPr="00224FCD">
              <w:rPr>
                <w:sz w:val="22"/>
                <w:szCs w:val="22"/>
              </w:rPr>
              <w:t>Mrs Carol Talbot</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224FCD" w:rsidRDefault="009D71E8">
            <w:pPr>
              <w:pStyle w:val="TableRow"/>
              <w:rPr>
                <w:sz w:val="22"/>
                <w:szCs w:val="22"/>
              </w:rPr>
            </w:pPr>
            <w:r w:rsidRPr="00224FCD">
              <w:rPr>
                <w:sz w:val="22"/>
                <w:szCs w:val="22"/>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8F225F5" w:rsidR="00E66558" w:rsidRPr="00224FCD" w:rsidRDefault="00342F9E">
            <w:pPr>
              <w:pStyle w:val="TableRow"/>
              <w:rPr>
                <w:sz w:val="22"/>
                <w:szCs w:val="22"/>
              </w:rPr>
            </w:pPr>
            <w:r w:rsidRPr="00224FCD">
              <w:rPr>
                <w:sz w:val="22"/>
                <w:szCs w:val="22"/>
              </w:rPr>
              <w:t>Mrs Anya Watson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224FCD" w:rsidRDefault="009D71E8">
            <w:pPr>
              <w:pStyle w:val="TableRow"/>
              <w:rPr>
                <w:sz w:val="22"/>
                <w:szCs w:val="22"/>
              </w:rPr>
            </w:pPr>
            <w:r w:rsidRPr="00224FCD">
              <w:rPr>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8B2188F" w:rsidR="00E66558" w:rsidRPr="00224FCD" w:rsidRDefault="009D71E8">
            <w:pPr>
              <w:pStyle w:val="TableRow"/>
              <w:rPr>
                <w:sz w:val="22"/>
                <w:szCs w:val="22"/>
              </w:rPr>
            </w:pPr>
            <w:r w:rsidRPr="00224FCD">
              <w:rPr>
                <w:sz w:val="22"/>
                <w:szCs w:val="22"/>
              </w:rPr>
              <w:t>£</w:t>
            </w:r>
            <w:r w:rsidR="00612785" w:rsidRPr="00224FCD">
              <w:rPr>
                <w:sz w:val="22"/>
                <w:szCs w:val="22"/>
              </w:rPr>
              <w:t xml:space="preserve"> </w:t>
            </w:r>
            <w:r w:rsidR="000D6708" w:rsidRPr="00224FCD">
              <w:rPr>
                <w:rFonts w:ascii="Tahoma" w:hAnsi="Tahoma" w:cs="Tahoma"/>
                <w:sz w:val="22"/>
                <w:szCs w:val="22"/>
              </w:rPr>
              <w:t>19,725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224FCD" w:rsidRDefault="009D71E8">
            <w:pPr>
              <w:pStyle w:val="TableRow"/>
              <w:rPr>
                <w:sz w:val="22"/>
                <w:szCs w:val="22"/>
              </w:rPr>
            </w:pPr>
            <w:r w:rsidRPr="00224FCD">
              <w:rPr>
                <w:sz w:val="22"/>
                <w:szCs w:val="22"/>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8293B65" w:rsidR="00E66558" w:rsidRPr="00224FCD" w:rsidRDefault="009D71E8">
            <w:pPr>
              <w:pStyle w:val="TableRow"/>
              <w:rPr>
                <w:sz w:val="22"/>
                <w:szCs w:val="22"/>
              </w:rPr>
            </w:pPr>
            <w:r w:rsidRPr="00224FCD">
              <w:rPr>
                <w:sz w:val="22"/>
                <w:szCs w:val="22"/>
              </w:rPr>
              <w:t>£</w:t>
            </w:r>
            <w:r w:rsidR="00612785" w:rsidRPr="00224FCD">
              <w:rPr>
                <w:sz w:val="22"/>
                <w:szCs w:val="22"/>
              </w:rPr>
              <w:t xml:space="preserve"> 2000</w:t>
            </w:r>
          </w:p>
        </w:tc>
      </w:tr>
      <w:tr w:rsidR="00E66558" w14:paraId="2A7D54DF" w14:textId="77777777" w:rsidTr="00AE55B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224FCD" w:rsidRDefault="009D71E8">
            <w:pPr>
              <w:pStyle w:val="TableRow"/>
              <w:rPr>
                <w:sz w:val="22"/>
                <w:szCs w:val="22"/>
              </w:rPr>
            </w:pPr>
            <w:r w:rsidRPr="00224FCD">
              <w:rPr>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C422ACE" w:rsidR="00E66558" w:rsidRPr="00AE55B8" w:rsidRDefault="009D71E8">
            <w:pPr>
              <w:pStyle w:val="TableRow"/>
              <w:rPr>
                <w:sz w:val="22"/>
                <w:szCs w:val="22"/>
              </w:rPr>
            </w:pPr>
            <w:r w:rsidRPr="00AE55B8">
              <w:rPr>
                <w:sz w:val="22"/>
                <w:szCs w:val="22"/>
              </w:rPr>
              <w:t>£</w:t>
            </w:r>
            <w:r w:rsidR="00AE55B8" w:rsidRPr="00AE55B8">
              <w:rPr>
                <w:sz w:val="22"/>
                <w:szCs w:val="22"/>
              </w:rPr>
              <w:t>0</w:t>
            </w:r>
          </w:p>
        </w:tc>
      </w:tr>
      <w:tr w:rsidR="00E66558" w14:paraId="2A7D54E3" w14:textId="77777777" w:rsidTr="00AE55B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224FCD" w:rsidRDefault="009D71E8">
            <w:pPr>
              <w:pStyle w:val="TableRow"/>
              <w:rPr>
                <w:b/>
                <w:sz w:val="22"/>
                <w:szCs w:val="22"/>
              </w:rPr>
            </w:pPr>
            <w:r w:rsidRPr="00224FCD">
              <w:rPr>
                <w:b/>
                <w:sz w:val="22"/>
                <w:szCs w:val="22"/>
              </w:rPr>
              <w:t>Total budget for this academic year</w:t>
            </w:r>
          </w:p>
          <w:p w14:paraId="2A7D54E1" w14:textId="77777777" w:rsidR="00E66558" w:rsidRPr="00224FCD" w:rsidRDefault="009D71E8">
            <w:pPr>
              <w:pStyle w:val="TableRow"/>
              <w:rPr>
                <w:sz w:val="22"/>
                <w:szCs w:val="22"/>
              </w:rPr>
            </w:pPr>
            <w:r w:rsidRPr="00224FCD">
              <w:rPr>
                <w:sz w:val="22"/>
                <w:szCs w:val="22"/>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6875F15" w:rsidR="00E66558" w:rsidRPr="00AE55B8" w:rsidRDefault="009D71E8">
            <w:pPr>
              <w:pStyle w:val="TableRow"/>
              <w:rPr>
                <w:sz w:val="22"/>
                <w:szCs w:val="22"/>
              </w:rPr>
            </w:pPr>
            <w:r w:rsidRPr="00AE55B8">
              <w:rPr>
                <w:sz w:val="22"/>
                <w:szCs w:val="22"/>
              </w:rPr>
              <w:t>£</w:t>
            </w:r>
            <w:r w:rsidR="00AE55B8" w:rsidRPr="00AE55B8">
              <w:rPr>
                <w:sz w:val="22"/>
                <w:szCs w:val="22"/>
              </w:rPr>
              <w:t>21,725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C233E" w14:textId="77777777" w:rsidR="000D6708" w:rsidRPr="00390375" w:rsidRDefault="00612785" w:rsidP="00612785">
            <w:pPr>
              <w:rPr>
                <w:iCs/>
              </w:rPr>
            </w:pPr>
            <w:r w:rsidRPr="00390375">
              <w:rPr>
                <w:iCs/>
              </w:rPr>
              <w:t>At Urchfont CE Primary School, we val</w:t>
            </w:r>
            <w:r w:rsidR="000D6708" w:rsidRPr="00390375">
              <w:rPr>
                <w:iCs/>
              </w:rPr>
              <w:t>ue and nurture each individual, and aim to ensure that all children reach their full potential. We recognise that our pupils in receipt of Pupil Premium might face particular barriers in reaching their potential and might at times, feel that their experiences do not follow the overwhelming culture of other children. Therefore, at Urchfont, we are determined and committed to provide the necessary support and opportunities that these pupils require to overcome them. We will provide opportunities to raise the aspirations of these pupils and strive for excellence for all.</w:t>
            </w:r>
          </w:p>
          <w:p w14:paraId="6FAECD79" w14:textId="77777777" w:rsidR="00342F9E" w:rsidRPr="00390375" w:rsidRDefault="000D6708" w:rsidP="00612785">
            <w:pPr>
              <w:rPr>
                <w:iCs/>
              </w:rPr>
            </w:pPr>
            <w:r w:rsidRPr="00390375">
              <w:rPr>
                <w:iCs/>
              </w:rPr>
              <w:t xml:space="preserve">The Pupil Premium funding that the school receives will be used effectively to implement the necessary </w:t>
            </w:r>
            <w:r w:rsidR="00342F9E" w:rsidRPr="00390375">
              <w:rPr>
                <w:iCs/>
              </w:rPr>
              <w:t>support and provision to support identified ‘disadvantaged’ pupils to facilitate pupil’s access to education, access to a rich and varied curriculum, including extra-curricular activities, and access to specific interventions, outlined within this Pupil Premium Strategy Plan. This has been informed by the latest research, guidance and regular evaluation, to meet the children’s pastoral, social and academic needs.</w:t>
            </w:r>
          </w:p>
          <w:p w14:paraId="7A27F083" w14:textId="77777777" w:rsidR="00390375" w:rsidRPr="00390375" w:rsidRDefault="00342F9E" w:rsidP="00612785">
            <w:pPr>
              <w:rPr>
                <w:iCs/>
              </w:rPr>
            </w:pPr>
            <w:r w:rsidRPr="00390375">
              <w:rPr>
                <w:iCs/>
              </w:rPr>
              <w:t xml:space="preserve">High-quality teaching is at the heart of our approach, with a focus on areas in which our disadvantaged pupils require the most support. This is proven to have the greatest impact on closing the disadvantage attainment gap and at the same time will benefit non-disadvantaged pupils in our school. </w:t>
            </w:r>
            <w:r w:rsidR="00390375" w:rsidRPr="00390375">
              <w:rPr>
                <w:iCs/>
              </w:rPr>
              <w:t xml:space="preserve">Implicit in our intended outcomes is the intention that all pupils’ attainment will be sustained. </w:t>
            </w:r>
          </w:p>
          <w:p w14:paraId="367237F6" w14:textId="6532F044" w:rsidR="00390375" w:rsidRPr="00390375" w:rsidRDefault="00390375" w:rsidP="00612785">
            <w:pPr>
              <w:rPr>
                <w:iCs/>
              </w:rPr>
            </w:pPr>
            <w:r w:rsidRPr="00390375">
              <w:rPr>
                <w:iCs/>
              </w:rPr>
              <w:t>Our strategy is also integral to wider school plans for education recovery and will be responsive to the common challenges and individual needs. To ensure they are effective we will: -</w:t>
            </w:r>
          </w:p>
          <w:p w14:paraId="7936D69C" w14:textId="77777777" w:rsidR="00612785" w:rsidRPr="00390375" w:rsidRDefault="00390375" w:rsidP="00390375">
            <w:pPr>
              <w:pStyle w:val="ListParagraph"/>
              <w:numPr>
                <w:ilvl w:val="0"/>
                <w:numId w:val="14"/>
              </w:numPr>
              <w:rPr>
                <w:iCs/>
              </w:rPr>
            </w:pPr>
            <w:r w:rsidRPr="00390375">
              <w:rPr>
                <w:iCs/>
              </w:rPr>
              <w:t>Ensure disadvantaged pupils are challenged in the work they are set</w:t>
            </w:r>
          </w:p>
          <w:p w14:paraId="7D8F2F01" w14:textId="77777777" w:rsidR="00390375" w:rsidRPr="00390375" w:rsidRDefault="00390375" w:rsidP="00390375">
            <w:pPr>
              <w:pStyle w:val="ListParagraph"/>
              <w:numPr>
                <w:ilvl w:val="0"/>
                <w:numId w:val="14"/>
              </w:numPr>
              <w:rPr>
                <w:iCs/>
              </w:rPr>
            </w:pPr>
            <w:r w:rsidRPr="00390375">
              <w:rPr>
                <w:iCs/>
              </w:rPr>
              <w:t>Act early to intervene at the point need is identified</w:t>
            </w:r>
          </w:p>
          <w:p w14:paraId="2A7D54E9" w14:textId="74038668" w:rsidR="00390375" w:rsidRPr="00390375" w:rsidRDefault="00390375" w:rsidP="00390375">
            <w:pPr>
              <w:pStyle w:val="ListParagraph"/>
              <w:numPr>
                <w:ilvl w:val="0"/>
                <w:numId w:val="14"/>
              </w:numPr>
              <w:rPr>
                <w:i/>
                <w:iCs/>
              </w:rPr>
            </w:pPr>
            <w:r w:rsidRPr="00390375">
              <w:rPr>
                <w:iCs/>
              </w:rPr>
              <w:t>Adopt a whole school approach in which all staff take responsibility for disadvantaged pupils’ outcomes and raise expectations of what they can achieve</w:t>
            </w:r>
            <w:r>
              <w:rPr>
                <w:i/>
                <w:iCs/>
              </w:rPr>
              <w:t xml:space="preserve"> </w:t>
            </w:r>
          </w:p>
        </w:tc>
      </w:tr>
    </w:tbl>
    <w:p w14:paraId="5A99C327" w14:textId="77777777" w:rsidR="00C560B3" w:rsidRDefault="00C560B3">
      <w:pPr>
        <w:pStyle w:val="Heading2"/>
        <w:spacing w:before="600"/>
      </w:pPr>
    </w:p>
    <w:p w14:paraId="2A7D54EB" w14:textId="57650C6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224FCD"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224FCD" w:rsidRDefault="009D71E8">
            <w:pPr>
              <w:pStyle w:val="TableHeader"/>
              <w:jc w:val="left"/>
            </w:pPr>
            <w:r w:rsidRPr="00224FCD">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224FCD" w:rsidRDefault="009D71E8">
            <w:pPr>
              <w:pStyle w:val="TableHeader"/>
              <w:jc w:val="left"/>
            </w:pPr>
            <w:r w:rsidRPr="00224FCD">
              <w:t xml:space="preserve">Detail of challenge </w:t>
            </w:r>
          </w:p>
        </w:tc>
      </w:tr>
      <w:tr w:rsidR="00E66558" w:rsidRPr="00224FCD"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224FCD" w:rsidRDefault="009D71E8">
            <w:pPr>
              <w:pStyle w:val="TableRow"/>
              <w:rPr>
                <w:sz w:val="22"/>
                <w:szCs w:val="22"/>
              </w:rPr>
            </w:pPr>
            <w:r w:rsidRPr="00224FCD">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B0FA417" w:rsidR="00E66558" w:rsidRPr="00224FCD" w:rsidRDefault="00224FCD">
            <w:pPr>
              <w:pStyle w:val="TableRowCentered"/>
              <w:jc w:val="left"/>
              <w:rPr>
                <w:sz w:val="22"/>
                <w:szCs w:val="22"/>
              </w:rPr>
            </w:pPr>
            <w:r w:rsidRPr="00224FCD">
              <w:rPr>
                <w:sz w:val="22"/>
                <w:szCs w:val="22"/>
              </w:rPr>
              <w:t>Risk of disadvantaged pupils making less than expected progress with their peers with similar starting points</w:t>
            </w:r>
          </w:p>
        </w:tc>
      </w:tr>
      <w:tr w:rsidR="00E66558" w:rsidRPr="00224FCD"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224FCD" w:rsidRDefault="009D71E8">
            <w:pPr>
              <w:pStyle w:val="TableRow"/>
              <w:rPr>
                <w:sz w:val="22"/>
                <w:szCs w:val="22"/>
              </w:rPr>
            </w:pPr>
            <w:r w:rsidRPr="00224FCD">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C998F69" w:rsidR="00E66558" w:rsidRPr="00224FCD" w:rsidRDefault="00224FCD" w:rsidP="00224FCD">
            <w:pPr>
              <w:pStyle w:val="TableRowCentered"/>
              <w:jc w:val="left"/>
              <w:rPr>
                <w:sz w:val="22"/>
                <w:szCs w:val="22"/>
              </w:rPr>
            </w:pPr>
            <w:r w:rsidRPr="00224FCD">
              <w:rPr>
                <w:sz w:val="22"/>
                <w:szCs w:val="22"/>
              </w:rPr>
              <w:t xml:space="preserve">Disadvantaged pupils  with SEND needs make even less progress than non – disadvantaged pupils with SEND </w:t>
            </w:r>
          </w:p>
        </w:tc>
      </w:tr>
      <w:tr w:rsidR="00E66558" w:rsidRPr="00224FCD"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224FCD" w:rsidRDefault="009D71E8">
            <w:pPr>
              <w:pStyle w:val="TableRow"/>
              <w:rPr>
                <w:sz w:val="22"/>
                <w:szCs w:val="22"/>
              </w:rPr>
            </w:pPr>
            <w:r w:rsidRPr="00224FCD">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6275880" w:rsidR="00E66558" w:rsidRPr="00224FCD" w:rsidRDefault="00224FCD" w:rsidP="00224FCD">
            <w:pPr>
              <w:pStyle w:val="TableRowCentered"/>
              <w:ind w:left="0"/>
              <w:jc w:val="left"/>
              <w:rPr>
                <w:sz w:val="22"/>
                <w:szCs w:val="22"/>
              </w:rPr>
            </w:pPr>
            <w:r w:rsidRPr="00224FCD">
              <w:rPr>
                <w:sz w:val="22"/>
                <w:szCs w:val="22"/>
              </w:rPr>
              <w:t xml:space="preserve"> Disadvantaged pupils are more likely to live in a home with one parent who has health issues </w:t>
            </w:r>
          </w:p>
        </w:tc>
      </w:tr>
      <w:tr w:rsidR="00E66558" w:rsidRPr="00224FCD"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224FCD" w:rsidRDefault="009D71E8">
            <w:pPr>
              <w:pStyle w:val="TableRow"/>
              <w:rPr>
                <w:sz w:val="22"/>
                <w:szCs w:val="22"/>
              </w:rPr>
            </w:pPr>
            <w:r w:rsidRPr="00224FCD">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182D5A4" w:rsidR="00E66558" w:rsidRPr="00224FCD" w:rsidRDefault="00224FCD">
            <w:pPr>
              <w:pStyle w:val="TableRowCentered"/>
              <w:jc w:val="left"/>
              <w:rPr>
                <w:iCs/>
                <w:sz w:val="22"/>
                <w:szCs w:val="22"/>
              </w:rPr>
            </w:pPr>
            <w:r w:rsidRPr="00224FCD">
              <w:rPr>
                <w:iCs/>
                <w:sz w:val="22"/>
                <w:szCs w:val="22"/>
              </w:rPr>
              <w:t>Parental engagement to promote positive attitudes towards learning might be less than non –disadvantaged pupils</w:t>
            </w:r>
          </w:p>
        </w:tc>
      </w:tr>
      <w:tr w:rsidR="00E66558" w:rsidRPr="00224FCD"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224FCD" w:rsidRDefault="009D71E8">
            <w:pPr>
              <w:pStyle w:val="TableRow"/>
              <w:rPr>
                <w:sz w:val="22"/>
                <w:szCs w:val="22"/>
              </w:rPr>
            </w:pPr>
            <w:bookmarkStart w:id="16" w:name="_Toc443397160"/>
            <w:r w:rsidRPr="00224FCD">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1F51066" w:rsidR="00E66558" w:rsidRPr="00224FCD" w:rsidRDefault="00224FCD">
            <w:pPr>
              <w:pStyle w:val="TableRowCentered"/>
              <w:jc w:val="left"/>
              <w:rPr>
                <w:iCs/>
                <w:sz w:val="22"/>
                <w:szCs w:val="22"/>
              </w:rPr>
            </w:pPr>
            <w:r w:rsidRPr="00224FCD">
              <w:rPr>
                <w:iCs/>
                <w:sz w:val="22"/>
                <w:szCs w:val="22"/>
              </w:rPr>
              <w:t>Emotional vulnerability of pupils in receipt of pupil premium</w:t>
            </w:r>
          </w:p>
        </w:tc>
      </w:tr>
      <w:tr w:rsidR="00224FCD" w:rsidRPr="00224FCD" w14:paraId="7D7E5CA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D7F69" w14:textId="7F781833" w:rsidR="00224FCD" w:rsidRPr="00224FCD" w:rsidRDefault="00224FCD">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DC293" w14:textId="02995DE7" w:rsidR="00224FCD" w:rsidRPr="00224FCD" w:rsidRDefault="00224FCD">
            <w:pPr>
              <w:pStyle w:val="TableRowCentered"/>
              <w:jc w:val="left"/>
              <w:rPr>
                <w:iCs/>
                <w:sz w:val="22"/>
                <w:szCs w:val="22"/>
              </w:rPr>
            </w:pPr>
            <w:r>
              <w:rPr>
                <w:iCs/>
                <w:sz w:val="22"/>
                <w:szCs w:val="22"/>
              </w:rPr>
              <w:t>Additional costs limits access to extra-curricular opportunities e.g. clubs, music tuition etc</w:t>
            </w:r>
          </w:p>
        </w:tc>
      </w:tr>
      <w:tr w:rsidR="00224FCD" w:rsidRPr="00224FCD" w14:paraId="3B2CC6A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97D8C" w14:textId="6A9A44EF" w:rsidR="00224FCD" w:rsidRDefault="00224FCD">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25466" w14:textId="16AA535B" w:rsidR="00224FCD" w:rsidRDefault="00224FCD">
            <w:pPr>
              <w:pStyle w:val="TableRowCentered"/>
              <w:jc w:val="left"/>
              <w:rPr>
                <w:iCs/>
                <w:sz w:val="22"/>
                <w:szCs w:val="22"/>
              </w:rPr>
            </w:pPr>
            <w:r>
              <w:rPr>
                <w:iCs/>
                <w:sz w:val="22"/>
                <w:szCs w:val="22"/>
              </w:rPr>
              <w:t>Negative impact of COVID-19, including lack of support and ICT</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35"/>
        <w:gridCol w:w="4140"/>
        <w:gridCol w:w="4811"/>
      </w:tblGrid>
      <w:tr w:rsidR="007F09F7" w14:paraId="2A7D5503" w14:textId="77777777" w:rsidTr="007F09F7">
        <w:tc>
          <w:tcPr>
            <w:tcW w:w="535" w:type="dxa"/>
            <w:tcBorders>
              <w:top w:val="single" w:sz="4" w:space="0" w:color="000000"/>
              <w:left w:val="single" w:sz="4" w:space="0" w:color="000000"/>
              <w:bottom w:val="single" w:sz="4" w:space="0" w:color="000000"/>
              <w:right w:val="single" w:sz="4" w:space="0" w:color="000000"/>
            </w:tcBorders>
            <w:shd w:val="clear" w:color="auto" w:fill="D8E2E9"/>
          </w:tcPr>
          <w:p w14:paraId="305E6418" w14:textId="77777777" w:rsidR="007F09F7" w:rsidRDefault="007F09F7">
            <w:pPr>
              <w:pStyle w:val="TableHeader"/>
              <w:jc w:val="left"/>
            </w:pPr>
          </w:p>
        </w:tc>
        <w:tc>
          <w:tcPr>
            <w:tcW w:w="41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4F2A99E2" w:rsidR="007F09F7" w:rsidRDefault="007F09F7">
            <w:pPr>
              <w:pStyle w:val="TableHeader"/>
              <w:jc w:val="left"/>
            </w:pPr>
            <w:r>
              <w:t>Intended outcome</w:t>
            </w:r>
          </w:p>
        </w:tc>
        <w:tc>
          <w:tcPr>
            <w:tcW w:w="48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7F09F7" w:rsidRDefault="007F09F7">
            <w:pPr>
              <w:pStyle w:val="TableHeader"/>
              <w:jc w:val="left"/>
            </w:pPr>
            <w:r>
              <w:t>Success criteria</w:t>
            </w:r>
          </w:p>
        </w:tc>
      </w:tr>
      <w:tr w:rsidR="007F09F7" w14:paraId="2A7D5506" w14:textId="77777777" w:rsidTr="007F09F7">
        <w:tc>
          <w:tcPr>
            <w:tcW w:w="535" w:type="dxa"/>
            <w:tcBorders>
              <w:top w:val="single" w:sz="4" w:space="0" w:color="000000"/>
              <w:left w:val="single" w:sz="4" w:space="0" w:color="000000"/>
              <w:bottom w:val="single" w:sz="4" w:space="0" w:color="000000"/>
              <w:right w:val="single" w:sz="4" w:space="0" w:color="000000"/>
            </w:tcBorders>
          </w:tcPr>
          <w:p w14:paraId="2679B350" w14:textId="00B5D3D6" w:rsidR="007F09F7" w:rsidRPr="00C66A5C" w:rsidRDefault="007F09F7">
            <w:pPr>
              <w:pStyle w:val="TableRow"/>
              <w:rPr>
                <w:sz w:val="22"/>
                <w:szCs w:val="22"/>
              </w:rPr>
            </w:pPr>
            <w:r>
              <w:rPr>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032C343" w:rsidR="007F09F7" w:rsidRPr="00C66A5C" w:rsidRDefault="007F09F7">
            <w:pPr>
              <w:pStyle w:val="TableRow"/>
              <w:rPr>
                <w:sz w:val="22"/>
                <w:szCs w:val="22"/>
              </w:rPr>
            </w:pPr>
            <w:r w:rsidRPr="00C66A5C">
              <w:rPr>
                <w:sz w:val="22"/>
                <w:szCs w:val="22"/>
              </w:rPr>
              <w:t>Disadvantage pupils achieve in line with their peers with similar starting points</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44570DC" w:rsidR="007F09F7" w:rsidRDefault="007F09F7">
            <w:pPr>
              <w:pStyle w:val="TableRowCentered"/>
              <w:jc w:val="left"/>
              <w:rPr>
                <w:sz w:val="22"/>
                <w:szCs w:val="22"/>
              </w:rPr>
            </w:pPr>
            <w:r>
              <w:rPr>
                <w:sz w:val="22"/>
                <w:szCs w:val="22"/>
              </w:rPr>
              <w:t>80%+ make expected or better progress than expected progress in reading, writing and mathematics</w:t>
            </w:r>
          </w:p>
        </w:tc>
      </w:tr>
      <w:tr w:rsidR="007F09F7" w14:paraId="2A7D5509" w14:textId="77777777" w:rsidTr="007F09F7">
        <w:tc>
          <w:tcPr>
            <w:tcW w:w="535" w:type="dxa"/>
            <w:tcBorders>
              <w:top w:val="single" w:sz="4" w:space="0" w:color="000000"/>
              <w:left w:val="single" w:sz="4" w:space="0" w:color="000000"/>
              <w:bottom w:val="single" w:sz="4" w:space="0" w:color="000000"/>
              <w:right w:val="single" w:sz="4" w:space="0" w:color="000000"/>
            </w:tcBorders>
          </w:tcPr>
          <w:p w14:paraId="3D0A0B79" w14:textId="27F56745" w:rsidR="007F09F7" w:rsidRDefault="007F09F7">
            <w:pPr>
              <w:pStyle w:val="TableRow"/>
              <w:rPr>
                <w:sz w:val="22"/>
                <w:szCs w:val="22"/>
              </w:rPr>
            </w:pPr>
            <w:r>
              <w:rPr>
                <w:sz w:val="22"/>
                <w:szCs w:val="22"/>
              </w:rPr>
              <w:t>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5E0D2F7" w:rsidR="007F09F7" w:rsidRDefault="007F09F7">
            <w:pPr>
              <w:pStyle w:val="TableRow"/>
              <w:rPr>
                <w:sz w:val="22"/>
                <w:szCs w:val="22"/>
              </w:rPr>
            </w:pPr>
            <w:r>
              <w:rPr>
                <w:sz w:val="22"/>
                <w:szCs w:val="22"/>
              </w:rPr>
              <w:t>Disadvantage pupils with SEND achieve in line with their peers with similar starting points</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1D12528" w:rsidR="007F09F7" w:rsidRDefault="007F09F7">
            <w:pPr>
              <w:pStyle w:val="TableRowCentered"/>
              <w:jc w:val="left"/>
              <w:rPr>
                <w:sz w:val="22"/>
                <w:szCs w:val="22"/>
              </w:rPr>
            </w:pPr>
            <w:r>
              <w:rPr>
                <w:sz w:val="22"/>
                <w:szCs w:val="22"/>
              </w:rPr>
              <w:t>Disadvantaged pupils with SEND make expected progress in reading, writing and mathematics</w:t>
            </w:r>
          </w:p>
        </w:tc>
      </w:tr>
      <w:tr w:rsidR="007F09F7" w14:paraId="2A7D550C" w14:textId="77777777" w:rsidTr="007F09F7">
        <w:tc>
          <w:tcPr>
            <w:tcW w:w="535" w:type="dxa"/>
            <w:tcBorders>
              <w:top w:val="single" w:sz="4" w:space="0" w:color="000000"/>
              <w:left w:val="single" w:sz="4" w:space="0" w:color="000000"/>
              <w:bottom w:val="single" w:sz="4" w:space="0" w:color="000000"/>
              <w:right w:val="single" w:sz="4" w:space="0" w:color="000000"/>
            </w:tcBorders>
          </w:tcPr>
          <w:p w14:paraId="18CD4B83" w14:textId="7A971203" w:rsidR="007F09F7" w:rsidRDefault="007F09F7">
            <w:pPr>
              <w:pStyle w:val="TableRow"/>
              <w:rPr>
                <w:sz w:val="22"/>
                <w:szCs w:val="22"/>
              </w:rPr>
            </w:pPr>
            <w:r>
              <w:rPr>
                <w:sz w:val="22"/>
                <w:szCs w:val="22"/>
              </w:rPr>
              <w:t>3</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566EE35" w:rsidR="007F09F7" w:rsidRDefault="007F09F7">
            <w:pPr>
              <w:pStyle w:val="TableRow"/>
              <w:rPr>
                <w:sz w:val="22"/>
                <w:szCs w:val="22"/>
              </w:rPr>
            </w:pPr>
            <w:r>
              <w:rPr>
                <w:sz w:val="22"/>
                <w:szCs w:val="22"/>
              </w:rPr>
              <w:t>Parents are actively engaged in their child’s education and promote a positive attitude to education</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546DA" w14:textId="156E7C37" w:rsidR="007F09F7" w:rsidRDefault="007F09F7">
            <w:pPr>
              <w:pStyle w:val="TableRowCentered"/>
              <w:jc w:val="left"/>
              <w:rPr>
                <w:sz w:val="22"/>
                <w:szCs w:val="22"/>
              </w:rPr>
            </w:pPr>
            <w:r>
              <w:rPr>
                <w:sz w:val="22"/>
                <w:szCs w:val="22"/>
              </w:rPr>
              <w:t>Parental communication is effective, especially during home learning period s with both children and parents accessing the Google Classroom for learning and meeting up with class teacher and peers.</w:t>
            </w:r>
          </w:p>
          <w:p w14:paraId="4A9FF703" w14:textId="14DA4B67" w:rsidR="007F09F7" w:rsidRDefault="007F09F7">
            <w:pPr>
              <w:pStyle w:val="TableRowCentered"/>
              <w:jc w:val="left"/>
              <w:rPr>
                <w:sz w:val="22"/>
                <w:szCs w:val="22"/>
              </w:rPr>
            </w:pPr>
            <w:r>
              <w:rPr>
                <w:sz w:val="22"/>
                <w:szCs w:val="22"/>
              </w:rPr>
              <w:t>Parents attend parents evening either via the School Cloud or by telephone.</w:t>
            </w:r>
          </w:p>
          <w:p w14:paraId="4F91225F" w14:textId="337C0B0E" w:rsidR="007F09F7" w:rsidRDefault="007F09F7" w:rsidP="006F0FDF">
            <w:pPr>
              <w:pStyle w:val="TableRowCentered"/>
              <w:jc w:val="left"/>
              <w:rPr>
                <w:sz w:val="22"/>
                <w:szCs w:val="22"/>
              </w:rPr>
            </w:pPr>
            <w:r>
              <w:rPr>
                <w:sz w:val="22"/>
                <w:szCs w:val="22"/>
              </w:rPr>
              <w:t>Parents support home learning.</w:t>
            </w:r>
          </w:p>
          <w:p w14:paraId="2A7D550B" w14:textId="54CB2932" w:rsidR="007F09F7" w:rsidRDefault="007F09F7" w:rsidP="006F0FDF">
            <w:pPr>
              <w:pStyle w:val="TableRowCentered"/>
              <w:jc w:val="left"/>
              <w:rPr>
                <w:sz w:val="22"/>
                <w:szCs w:val="22"/>
              </w:rPr>
            </w:pPr>
            <w:r>
              <w:rPr>
                <w:sz w:val="22"/>
                <w:szCs w:val="22"/>
              </w:rPr>
              <w:t>Pupils attendance is in line with peers.</w:t>
            </w:r>
          </w:p>
        </w:tc>
      </w:tr>
      <w:tr w:rsidR="007F09F7" w14:paraId="2A7D550F" w14:textId="77777777" w:rsidTr="007F09F7">
        <w:tc>
          <w:tcPr>
            <w:tcW w:w="535" w:type="dxa"/>
            <w:tcBorders>
              <w:top w:val="single" w:sz="4" w:space="0" w:color="000000"/>
              <w:left w:val="single" w:sz="4" w:space="0" w:color="000000"/>
              <w:bottom w:val="single" w:sz="4" w:space="0" w:color="000000"/>
              <w:right w:val="single" w:sz="4" w:space="0" w:color="000000"/>
            </w:tcBorders>
          </w:tcPr>
          <w:p w14:paraId="412EDF85" w14:textId="5A4C9B7F" w:rsidR="007F09F7" w:rsidRDefault="007F09F7">
            <w:pPr>
              <w:pStyle w:val="TableRow"/>
              <w:rPr>
                <w:sz w:val="22"/>
                <w:szCs w:val="22"/>
              </w:rPr>
            </w:pPr>
            <w:r>
              <w:rPr>
                <w:sz w:val="22"/>
                <w:szCs w:val="22"/>
              </w:rPr>
              <w:lastRenderedPageBreak/>
              <w:t>4</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6D6956B" w:rsidR="007F09F7" w:rsidRDefault="007F09F7">
            <w:pPr>
              <w:pStyle w:val="TableRow"/>
              <w:rPr>
                <w:sz w:val="22"/>
                <w:szCs w:val="22"/>
              </w:rPr>
            </w:pPr>
            <w:r>
              <w:rPr>
                <w:sz w:val="22"/>
                <w:szCs w:val="22"/>
              </w:rPr>
              <w:t>Pupils’ emotional and mental health needs are met and receive the necessary support when required.</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D183311" w:rsidR="007F09F7" w:rsidRDefault="007F09F7">
            <w:pPr>
              <w:pStyle w:val="TableRowCentered"/>
              <w:jc w:val="left"/>
              <w:rPr>
                <w:sz w:val="22"/>
                <w:szCs w:val="22"/>
              </w:rPr>
            </w:pPr>
            <w:r>
              <w:rPr>
                <w:sz w:val="22"/>
                <w:szCs w:val="22"/>
              </w:rPr>
              <w:t>All pupils feel safe and happy at school, maintaining a positive attitude towards their learning and build positive relationships with their peers and staff members.</w:t>
            </w:r>
          </w:p>
        </w:tc>
      </w:tr>
      <w:tr w:rsidR="007F09F7" w14:paraId="19D604F4" w14:textId="77777777" w:rsidTr="007F09F7">
        <w:tc>
          <w:tcPr>
            <w:tcW w:w="535" w:type="dxa"/>
            <w:tcBorders>
              <w:top w:val="single" w:sz="4" w:space="0" w:color="000000"/>
              <w:left w:val="single" w:sz="4" w:space="0" w:color="000000"/>
              <w:bottom w:val="single" w:sz="4" w:space="0" w:color="000000"/>
              <w:right w:val="single" w:sz="4" w:space="0" w:color="000000"/>
            </w:tcBorders>
          </w:tcPr>
          <w:p w14:paraId="7D6C0B94" w14:textId="515581DA" w:rsidR="007F09F7" w:rsidRDefault="007F09F7">
            <w:pPr>
              <w:pStyle w:val="TableRow"/>
              <w:rPr>
                <w:sz w:val="22"/>
                <w:szCs w:val="22"/>
              </w:rPr>
            </w:pPr>
            <w:r>
              <w:rPr>
                <w:sz w:val="22"/>
                <w:szCs w:val="22"/>
              </w:rPr>
              <w:t>5</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2AF54" w14:textId="3E41CD41" w:rsidR="007F09F7" w:rsidRDefault="007F09F7">
            <w:pPr>
              <w:pStyle w:val="TableRow"/>
              <w:rPr>
                <w:sz w:val="22"/>
                <w:szCs w:val="22"/>
              </w:rPr>
            </w:pPr>
            <w:r>
              <w:rPr>
                <w:sz w:val="22"/>
                <w:szCs w:val="22"/>
              </w:rPr>
              <w:t>All pupils have access and equal opportunities to participate in extra- curricular activity.</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CF4BE" w14:textId="5692AEEF" w:rsidR="007F09F7" w:rsidRDefault="007F09F7">
            <w:pPr>
              <w:pStyle w:val="TableRowCentered"/>
              <w:jc w:val="left"/>
              <w:rPr>
                <w:sz w:val="22"/>
                <w:szCs w:val="22"/>
              </w:rPr>
            </w:pPr>
            <w:r>
              <w:rPr>
                <w:sz w:val="22"/>
                <w:szCs w:val="22"/>
              </w:rPr>
              <w:t>Disadvantage pupils are able to participate in chosen extra- curricular activities.</w:t>
            </w:r>
          </w:p>
        </w:tc>
      </w:tr>
      <w:tr w:rsidR="007F09F7" w14:paraId="60BCE4E5" w14:textId="77777777" w:rsidTr="007F09F7">
        <w:tc>
          <w:tcPr>
            <w:tcW w:w="535" w:type="dxa"/>
            <w:tcBorders>
              <w:top w:val="single" w:sz="4" w:space="0" w:color="000000"/>
              <w:left w:val="single" w:sz="4" w:space="0" w:color="000000"/>
              <w:bottom w:val="single" w:sz="4" w:space="0" w:color="000000"/>
              <w:right w:val="single" w:sz="4" w:space="0" w:color="000000"/>
            </w:tcBorders>
          </w:tcPr>
          <w:p w14:paraId="227E3923" w14:textId="1E65FAD5" w:rsidR="007F09F7" w:rsidRDefault="007F09F7">
            <w:pPr>
              <w:pStyle w:val="TableRow"/>
              <w:rPr>
                <w:sz w:val="22"/>
                <w:szCs w:val="22"/>
              </w:rPr>
            </w:pPr>
            <w:r>
              <w:rPr>
                <w:sz w:val="22"/>
                <w:szCs w:val="22"/>
              </w:rPr>
              <w:t>6</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716F2" w14:textId="64C9C6D8" w:rsidR="007F09F7" w:rsidRDefault="007F09F7">
            <w:pPr>
              <w:pStyle w:val="TableRow"/>
              <w:rPr>
                <w:sz w:val="22"/>
                <w:szCs w:val="22"/>
              </w:rPr>
            </w:pPr>
            <w:r>
              <w:rPr>
                <w:sz w:val="22"/>
                <w:szCs w:val="22"/>
              </w:rPr>
              <w:t>Disadvantaged pupils have access to the necessary IT equipment, internet and /or resources to carry out home learning</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82054" w14:textId="43AC3086" w:rsidR="007F09F7" w:rsidRDefault="007F09F7">
            <w:pPr>
              <w:pStyle w:val="TableRowCentered"/>
              <w:jc w:val="left"/>
              <w:rPr>
                <w:sz w:val="22"/>
                <w:szCs w:val="22"/>
              </w:rPr>
            </w:pPr>
            <w:r>
              <w:rPr>
                <w:sz w:val="22"/>
                <w:szCs w:val="22"/>
              </w:rPr>
              <w:t>Pupils carry out home learning successfully and submit work each day/week during any periods of enforced isolation.</w:t>
            </w:r>
          </w:p>
        </w:tc>
      </w:tr>
    </w:tbl>
    <w:p w14:paraId="60BAD9F6" w14:textId="77777777" w:rsidR="00120AB1" w:rsidRDefault="00120AB1">
      <w:pPr>
        <w:pStyle w:val="Heading2"/>
      </w:pPr>
    </w:p>
    <w:p w14:paraId="2A7D5512" w14:textId="72D6E30C" w:rsidR="00E66558" w:rsidRPr="00A47B67" w:rsidRDefault="009D71E8" w:rsidP="00A47B67">
      <w:pPr>
        <w:suppressAutoHyphens w:val="0"/>
        <w:spacing w:after="0" w:line="240" w:lineRule="auto"/>
        <w:rPr>
          <w:b/>
          <w:color w:val="1F497D" w:themeColor="text2"/>
          <w:sz w:val="32"/>
          <w:szCs w:val="32"/>
        </w:rPr>
      </w:pPr>
      <w:r w:rsidRPr="00A47B67">
        <w:rPr>
          <w:b/>
          <w:color w:val="1F497D" w:themeColor="text2"/>
          <w:sz w:val="32"/>
          <w:szCs w:val="32"/>
        </w:rP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46D11D6" w:rsidR="00E66558" w:rsidRDefault="00951019">
      <w:r>
        <w:t>Budgeted cost: £</w:t>
      </w:r>
      <w:r w:rsidR="00C85A6C">
        <w:t xml:space="preserve"> 7842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A289F0C" w:rsidR="00E66558" w:rsidRPr="00CD7957" w:rsidRDefault="00CD7957">
            <w:pPr>
              <w:pStyle w:val="TableRow"/>
              <w:rPr>
                <w:sz w:val="22"/>
                <w:szCs w:val="22"/>
              </w:rPr>
            </w:pPr>
            <w:r w:rsidRPr="00CD7957">
              <w:rPr>
                <w:sz w:val="22"/>
                <w:szCs w:val="22"/>
              </w:rPr>
              <w:t>Use of TAs to provide targeted intervention for pupils whose prior attainment indicates the need for them to make accelerated progress to reach appropriate ARE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5134081B" w:rsidR="00E66558" w:rsidRDefault="00CD7957">
            <w:pPr>
              <w:pStyle w:val="TableRowCentered"/>
              <w:jc w:val="left"/>
              <w:rPr>
                <w:sz w:val="22"/>
              </w:rPr>
            </w:pPr>
            <w:r>
              <w:rPr>
                <w:sz w:val="22"/>
              </w:rPr>
              <w:t>Sutton Trust (2011) report revealed that the effects of high quality teaching are especially significant for pupils from disadvantaged backgrounds. This has been successful in the past. Use of intervention plans ensure that children make good progress in reading, writing and maths. Use of TAs enabled higher ratios within classes to support teaching and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7E17B97" w:rsidR="00E66558" w:rsidRDefault="006B5704">
            <w:pPr>
              <w:pStyle w:val="TableRowCentered"/>
              <w:jc w:val="left"/>
              <w:rPr>
                <w:sz w:val="22"/>
              </w:rPr>
            </w:pPr>
            <w:r>
              <w:rPr>
                <w:sz w:val="22"/>
              </w:rPr>
              <w:t>1, 2</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C616746" w:rsidR="00E66558" w:rsidRPr="00750D82" w:rsidRDefault="00AE55B8">
            <w:pPr>
              <w:pStyle w:val="TableRow"/>
              <w:rPr>
                <w:sz w:val="22"/>
              </w:rPr>
            </w:pPr>
            <w:r>
              <w:rPr>
                <w:sz w:val="22"/>
              </w:rPr>
              <w:t>Use of Nessie</w:t>
            </w:r>
            <w:r w:rsidR="00750D82" w:rsidRPr="00750D82">
              <w:rPr>
                <w:sz w:val="22"/>
              </w:rPr>
              <w:t xml:space="preserve"> within the EYFS / Year 1 class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B5335" w14:textId="77777777" w:rsidR="00750D82" w:rsidRPr="00750D82" w:rsidRDefault="00750D82" w:rsidP="00750D82">
            <w:pPr>
              <w:pStyle w:val="TableRowCentered"/>
              <w:jc w:val="left"/>
              <w:rPr>
                <w:sz w:val="22"/>
              </w:rPr>
            </w:pPr>
            <w:r w:rsidRPr="00750D82">
              <w:rPr>
                <w:sz w:val="22"/>
              </w:rPr>
              <w:t>The average impact of Oral language interventions is approximately an additional six months’ progress over the course of a year. Some studies also often report improved classroom climate and fewer behavioural issues following work on oral language.</w:t>
            </w:r>
          </w:p>
          <w:p w14:paraId="3CB3FAA3" w14:textId="77777777" w:rsidR="00750D82" w:rsidRPr="00750D82" w:rsidRDefault="00750D82" w:rsidP="00750D82">
            <w:pPr>
              <w:pStyle w:val="TableRowCentered"/>
              <w:rPr>
                <w:sz w:val="22"/>
              </w:rPr>
            </w:pPr>
          </w:p>
          <w:p w14:paraId="2A7D551F" w14:textId="6CFF4775" w:rsidR="00E66558" w:rsidRDefault="00750D82" w:rsidP="00750D82">
            <w:pPr>
              <w:pStyle w:val="TableRowCentered"/>
              <w:jc w:val="both"/>
              <w:rPr>
                <w:sz w:val="22"/>
              </w:rPr>
            </w:pPr>
            <w:r w:rsidRPr="00750D82">
              <w:rPr>
                <w:sz w:val="22"/>
              </w:rPr>
              <w:t>Approaches that focus on speaking, listening and a combination of the two all show positive impacts on attainment</w:t>
            </w:r>
            <w:r w:rsidR="00CD7957">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0217384" w:rsidR="00E66558" w:rsidRDefault="006B5704">
            <w:pPr>
              <w:pStyle w:val="TableRowCentered"/>
              <w:jc w:val="left"/>
              <w:rPr>
                <w:sz w:val="22"/>
              </w:rPr>
            </w:pPr>
            <w:r>
              <w:rPr>
                <w:sz w:val="22"/>
              </w:rPr>
              <w:t>1, 2</w:t>
            </w:r>
          </w:p>
        </w:tc>
      </w:tr>
      <w:tr w:rsidR="00CD7957" w14:paraId="338DDB6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94812" w14:textId="3C56AA7D" w:rsidR="00CD7957" w:rsidRPr="00750D82" w:rsidRDefault="00CD7957">
            <w:pPr>
              <w:pStyle w:val="TableRow"/>
              <w:rPr>
                <w:sz w:val="22"/>
              </w:rPr>
            </w:pPr>
            <w:r>
              <w:rPr>
                <w:sz w:val="22"/>
              </w:rPr>
              <w:t xml:space="preserve">Use of Times Table Rock Stars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543ED" w14:textId="77777777" w:rsidR="00CD7957" w:rsidRDefault="00CD7957" w:rsidP="00CD7957">
            <w:pPr>
              <w:pStyle w:val="TableRowCentered"/>
              <w:jc w:val="left"/>
              <w:rPr>
                <w:sz w:val="22"/>
              </w:rPr>
            </w:pPr>
            <w:r>
              <w:rPr>
                <w:sz w:val="22"/>
              </w:rPr>
              <w:t>Effective use of TTRS in other schools.</w:t>
            </w:r>
          </w:p>
          <w:p w14:paraId="63CEC53C" w14:textId="3D511DE3" w:rsidR="00CD7957" w:rsidRPr="00750D82" w:rsidRDefault="00CD7957" w:rsidP="00CD7957">
            <w:pPr>
              <w:pStyle w:val="TableRowCentered"/>
              <w:jc w:val="left"/>
              <w:rPr>
                <w:sz w:val="22"/>
              </w:rPr>
            </w:pPr>
            <w:r>
              <w:rPr>
                <w:sz w:val="22"/>
              </w:rPr>
              <w:lastRenderedPageBreak/>
              <w:t xml:space="preserve">EEF </w:t>
            </w:r>
            <w:r w:rsidR="00757862">
              <w:rPr>
                <w:sz w:val="22"/>
              </w:rPr>
              <w:t>research suggests that appropriate homework tasks can increase progress by up to 5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181D1" w14:textId="625CD38F" w:rsidR="00CD7957" w:rsidRDefault="006B5704">
            <w:pPr>
              <w:pStyle w:val="TableRowCentered"/>
              <w:jc w:val="left"/>
              <w:rPr>
                <w:sz w:val="22"/>
              </w:rPr>
            </w:pPr>
            <w:r>
              <w:rPr>
                <w:sz w:val="22"/>
              </w:rPr>
              <w:lastRenderedPageBreak/>
              <w:t>1, 2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C5B70C9" w:rsidR="00E66558" w:rsidRDefault="00673EDA">
      <w:r>
        <w:t>Budgeted cost: £ 6429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B6048CE" w:rsidR="00E66558" w:rsidRPr="009C1867" w:rsidRDefault="009C1867">
            <w:pPr>
              <w:pStyle w:val="TableRow"/>
              <w:rPr>
                <w:sz w:val="22"/>
                <w:szCs w:val="22"/>
              </w:rPr>
            </w:pPr>
            <w:r w:rsidRPr="009C1867">
              <w:rPr>
                <w:sz w:val="22"/>
                <w:szCs w:val="22"/>
              </w:rPr>
              <w:t>1-to-1 TA led SALT intervention based on Speech therapist targets following periodic reviews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B57E9A4" w:rsidR="00E66558" w:rsidRDefault="009C1867">
            <w:pPr>
              <w:pStyle w:val="TableRowCentered"/>
              <w:jc w:val="left"/>
              <w:rPr>
                <w:sz w:val="22"/>
              </w:rPr>
            </w:pPr>
            <w:r>
              <w:rPr>
                <w:sz w:val="22"/>
              </w:rPr>
              <w:t>EEF research focused</w:t>
            </w:r>
            <w:r w:rsidRPr="009C1867">
              <w:rPr>
                <w:sz w:val="22"/>
              </w:rPr>
              <w:t xml:space="preserve"> on teaching assistants who provide</w:t>
            </w:r>
            <w:r>
              <w:rPr>
                <w:sz w:val="22"/>
              </w:rPr>
              <w:t>d</w:t>
            </w:r>
            <w:r w:rsidRPr="009C1867">
              <w:rPr>
                <w:sz w:val="22"/>
              </w:rPr>
              <w:t xml:space="preserve"> one to one or small group targeted interventions</w:t>
            </w:r>
            <w:r>
              <w:rPr>
                <w:sz w:val="22"/>
              </w:rPr>
              <w:t xml:space="preserve">. </w:t>
            </w:r>
            <w:r w:rsidR="00CE09B2">
              <w:rPr>
                <w:sz w:val="22"/>
              </w:rPr>
              <w:t>It shows</w:t>
            </w:r>
            <w:r>
              <w:rPr>
                <w:sz w:val="22"/>
              </w:rPr>
              <w:t xml:space="preserve"> </w:t>
            </w:r>
            <w:r w:rsidR="00CE09B2">
              <w:rPr>
                <w:sz w:val="22"/>
              </w:rPr>
              <w:t xml:space="preserve">a </w:t>
            </w:r>
            <w:r w:rsidR="00CE09B2" w:rsidRPr="009C1867">
              <w:rPr>
                <w:sz w:val="22"/>
              </w:rPr>
              <w:t>positive</w:t>
            </w:r>
            <w:r w:rsidRPr="009C1867">
              <w:rPr>
                <w:sz w:val="22"/>
              </w:rPr>
              <w:t xml:space="preserve"> benefit of between four and six additional months on average. </w:t>
            </w:r>
            <w:r w:rsidR="00CE09B2">
              <w:rPr>
                <w:sz w:val="22"/>
              </w:rPr>
              <w:t>This is best when the</w:t>
            </w:r>
            <w:r w:rsidRPr="009C1867">
              <w:rPr>
                <w:sz w:val="22"/>
              </w:rPr>
              <w:t xml:space="preserve"> interventions are based on a clearly specified approach which teaching assistants have been trained to deliver</w:t>
            </w:r>
            <w:r w:rsidR="00CE09B2">
              <w:rPr>
                <w:sz w:val="22"/>
              </w:rPr>
              <w:t xml:space="preserve"> which is evident with this intervention.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230AD78" w:rsidR="00E66558" w:rsidRDefault="00CE09B2">
            <w:pPr>
              <w:pStyle w:val="TableRowCentered"/>
              <w:jc w:val="left"/>
              <w:rPr>
                <w:sz w:val="22"/>
              </w:rPr>
            </w:pPr>
            <w:r>
              <w:rPr>
                <w:sz w:val="22"/>
              </w:rPr>
              <w:t>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70283E2" w:rsidR="00E66558" w:rsidRPr="00CE09B2" w:rsidRDefault="00CE09B2">
            <w:pPr>
              <w:pStyle w:val="TableRow"/>
              <w:rPr>
                <w:sz w:val="22"/>
              </w:rPr>
            </w:pPr>
            <w:r>
              <w:rPr>
                <w:sz w:val="22"/>
              </w:rPr>
              <w:t>1-to-1 and small group TA led provision based on teacher directed activities following half-termly reviews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44819266" w:rsidR="00E66558" w:rsidRDefault="00CE09B2">
            <w:pPr>
              <w:pStyle w:val="TableRowCentered"/>
              <w:jc w:val="left"/>
              <w:rPr>
                <w:sz w:val="22"/>
              </w:rPr>
            </w:pPr>
            <w:r w:rsidRPr="00CE09B2">
              <w:rPr>
                <w:sz w:val="22"/>
              </w:rPr>
              <w:t>EEF research focused on teaching assistants who provided one to one or small group targeted interventions. It shows a positive benefit of between four and six additional months on average.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9E11C8B" w:rsidR="00E66558" w:rsidRDefault="00CE09B2">
            <w:pPr>
              <w:pStyle w:val="TableRowCentered"/>
              <w:jc w:val="left"/>
              <w:rPr>
                <w:sz w:val="22"/>
              </w:rPr>
            </w:pPr>
            <w:r>
              <w:rPr>
                <w:sz w:val="22"/>
              </w:rPr>
              <w:t>1, 2</w:t>
            </w:r>
          </w:p>
        </w:tc>
      </w:tr>
      <w:tr w:rsidR="00CE09B2" w14:paraId="6AC125F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14644" w14:textId="58C5E29A" w:rsidR="00CE09B2" w:rsidRDefault="00CE09B2">
            <w:pPr>
              <w:pStyle w:val="TableRow"/>
              <w:rPr>
                <w:sz w:val="22"/>
              </w:rPr>
            </w:pPr>
            <w:r>
              <w:rPr>
                <w:sz w:val="22"/>
              </w:rPr>
              <w:t xml:space="preserve">Teacher led reading </w:t>
            </w:r>
            <w:r w:rsidR="00B95BA6">
              <w:rPr>
                <w:sz w:val="22"/>
              </w:rPr>
              <w:t>comprehension strategies</w:t>
            </w:r>
            <w:r>
              <w:rPr>
                <w:sz w:val="22"/>
              </w:rPr>
              <w:t xml:space="preserve"> with pupils grouped in small groups</w:t>
            </w:r>
            <w:r w:rsidR="00B95BA6">
              <w:rPr>
                <w:sz w:val="22"/>
              </w:rPr>
              <w:t>.</w:t>
            </w:r>
            <w:r>
              <w:rPr>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16E46" w14:textId="4BAA9E9F" w:rsidR="00CE09B2" w:rsidRPr="00CE09B2" w:rsidRDefault="00CE09B2" w:rsidP="00CE09B2">
            <w:pPr>
              <w:pStyle w:val="NoSpacing"/>
              <w:rPr>
                <w:sz w:val="22"/>
                <w:szCs w:val="22"/>
              </w:rPr>
            </w:pPr>
            <w:r w:rsidRPr="00CE09B2">
              <w:rPr>
                <w:sz w:val="22"/>
                <w:szCs w:val="22"/>
              </w:rPr>
              <w:t>EEF research suggests the average impact of reading comprehension strategies is an additional six months’ progress over the course of a year. Successful reading comprehension approaches allow activities to be carefully tailored to pupils’ reading capabilities, and involve activities and texts that provide an effective, but not overwhelming, challenge.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06FE2" w14:textId="03672B93" w:rsidR="00CE09B2" w:rsidRDefault="00CE09B2">
            <w:pPr>
              <w:pStyle w:val="TableRowCentered"/>
              <w:jc w:val="left"/>
              <w:rPr>
                <w:sz w:val="22"/>
              </w:rPr>
            </w:pPr>
            <w:r>
              <w:rPr>
                <w:sz w:val="22"/>
              </w:rPr>
              <w:t xml:space="preserve">1,2 </w:t>
            </w:r>
          </w:p>
        </w:tc>
      </w:tr>
      <w:tr w:rsidR="00B95BA6" w14:paraId="58C3D0F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8AC1A" w14:textId="252592E0" w:rsidR="00B95BA6" w:rsidRDefault="00B95BA6" w:rsidP="00B95BA6">
            <w:pPr>
              <w:pStyle w:val="TableRow"/>
              <w:rPr>
                <w:sz w:val="22"/>
              </w:rPr>
            </w:pPr>
            <w:r w:rsidRPr="00B95BA6">
              <w:rPr>
                <w:sz w:val="22"/>
              </w:rPr>
              <w:t xml:space="preserve">Teacher led </w:t>
            </w:r>
            <w:r>
              <w:rPr>
                <w:sz w:val="22"/>
              </w:rPr>
              <w:t xml:space="preserve">writing </w:t>
            </w:r>
            <w:r w:rsidRPr="00B95BA6">
              <w:rPr>
                <w:sz w:val="22"/>
              </w:rPr>
              <w:t>strategies with</w:t>
            </w:r>
            <w:r w:rsidR="00750D82">
              <w:rPr>
                <w:sz w:val="22"/>
              </w:rPr>
              <w:t xml:space="preserve"> pupils grouped in small groups, including collaborative approaches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F0C27" w14:textId="2DD623C6" w:rsidR="00B95BA6" w:rsidRPr="00CE09B2" w:rsidRDefault="00CD7957" w:rsidP="00CE09B2">
            <w:pPr>
              <w:pStyle w:val="NoSpacing"/>
              <w:rPr>
                <w:sz w:val="22"/>
                <w:szCs w:val="22"/>
              </w:rPr>
            </w:pPr>
            <w:r>
              <w:rPr>
                <w:sz w:val="22"/>
                <w:szCs w:val="22"/>
              </w:rPr>
              <w:t>EEF research suggests t</w:t>
            </w:r>
            <w:r w:rsidRPr="00CD7957">
              <w:rPr>
                <w:sz w:val="22"/>
                <w:szCs w:val="22"/>
              </w:rPr>
              <w:t>he impact of collaborative approaches on learning is consistently positive, with pupils making an additional 5 months’ progress, on average, over the course of an academic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2228A" w14:textId="1369F6DE" w:rsidR="00B95BA6" w:rsidRDefault="00750D82">
            <w:pPr>
              <w:pStyle w:val="TableRowCentered"/>
              <w:jc w:val="left"/>
              <w:rPr>
                <w:sz w:val="22"/>
              </w:rPr>
            </w:pPr>
            <w:r>
              <w:rPr>
                <w:sz w:val="22"/>
              </w:rPr>
              <w:t>1, 2</w:t>
            </w:r>
          </w:p>
        </w:tc>
      </w:tr>
    </w:tbl>
    <w:p w14:paraId="2A7D5531" w14:textId="77777777" w:rsidR="00E66558" w:rsidRDefault="00E66558">
      <w:pPr>
        <w:spacing w:after="0"/>
        <w:rPr>
          <w:b/>
          <w:color w:val="104F75"/>
          <w:sz w:val="28"/>
          <w:szCs w:val="28"/>
        </w:rPr>
      </w:pPr>
    </w:p>
    <w:p w14:paraId="196EF739" w14:textId="77777777" w:rsidR="00C560B3" w:rsidRDefault="00C560B3">
      <w:pPr>
        <w:rPr>
          <w:b/>
          <w:color w:val="104F75"/>
          <w:sz w:val="28"/>
          <w:szCs w:val="28"/>
        </w:rPr>
      </w:pPr>
    </w:p>
    <w:p w14:paraId="3F50F224" w14:textId="77777777" w:rsidR="00C560B3" w:rsidRDefault="00C560B3">
      <w:pPr>
        <w:rPr>
          <w:b/>
          <w:color w:val="104F75"/>
          <w:sz w:val="28"/>
          <w:szCs w:val="28"/>
        </w:rPr>
      </w:pPr>
    </w:p>
    <w:p w14:paraId="26A2A045" w14:textId="77777777" w:rsidR="00C560B3" w:rsidRDefault="00C560B3">
      <w:pPr>
        <w:rPr>
          <w:b/>
          <w:color w:val="104F75"/>
          <w:sz w:val="28"/>
          <w:szCs w:val="28"/>
        </w:rPr>
      </w:pPr>
    </w:p>
    <w:p w14:paraId="2A7D5532" w14:textId="1C73EEF3"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03EAD053" w:rsidR="00E66558" w:rsidRDefault="009D71E8">
      <w:pPr>
        <w:spacing w:before="240" w:after="120"/>
      </w:pPr>
      <w:r>
        <w:t>Budgeted cost</w:t>
      </w:r>
      <w:r w:rsidRPr="00951019">
        <w:t xml:space="preserve">: </w:t>
      </w:r>
      <w:r w:rsidR="00951019" w:rsidRPr="00951019">
        <w:t>£7227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C4A2BD9" w:rsidR="00E66558" w:rsidRPr="007F09F7" w:rsidRDefault="007F09F7">
            <w:pPr>
              <w:pStyle w:val="TableRow"/>
              <w:rPr>
                <w:sz w:val="22"/>
                <w:szCs w:val="22"/>
              </w:rPr>
            </w:pPr>
            <w:r w:rsidRPr="007F09F7">
              <w:rPr>
                <w:sz w:val="22"/>
                <w:szCs w:val="22"/>
              </w:rPr>
              <w:t>No charge for disadvantaged pupils to access extra-curricular activities such as after-school clubs, educational day visits, music tuition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5AE6C75" w:rsidR="00E66558" w:rsidRPr="007F09F7" w:rsidRDefault="007F09F7">
            <w:pPr>
              <w:pStyle w:val="TableRowCentered"/>
              <w:jc w:val="left"/>
              <w:rPr>
                <w:sz w:val="22"/>
                <w:szCs w:val="22"/>
              </w:rPr>
            </w:pPr>
            <w:r>
              <w:rPr>
                <w:sz w:val="22"/>
                <w:szCs w:val="22"/>
              </w:rPr>
              <w:t>EEF research indicates improved outcomes have been identified in English, Mathematics and Science learning. On average, greater effect has been identified for younger learners. Widespread evidence on positive impact on self -esteem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AC5DCE6" w:rsidR="00E66558" w:rsidRPr="007F09F7" w:rsidRDefault="007F09F7">
            <w:pPr>
              <w:pStyle w:val="TableRowCentered"/>
              <w:jc w:val="left"/>
              <w:rPr>
                <w:sz w:val="22"/>
                <w:szCs w:val="22"/>
              </w:rPr>
            </w:pPr>
            <w:r>
              <w:rPr>
                <w:sz w:val="22"/>
                <w:szCs w:val="22"/>
              </w:rPr>
              <w:t>4. 5</w:t>
            </w:r>
            <w:r w:rsidR="00757862">
              <w:rPr>
                <w:sz w:val="22"/>
                <w:szCs w:val="22"/>
              </w:rPr>
              <w:t xml:space="preserve">, </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10502C1" w:rsidR="00E66558" w:rsidRPr="007F09F7" w:rsidRDefault="007F09F7">
            <w:pPr>
              <w:pStyle w:val="TableRow"/>
              <w:rPr>
                <w:sz w:val="22"/>
                <w:szCs w:val="22"/>
              </w:rPr>
            </w:pPr>
            <w:r>
              <w:rPr>
                <w:sz w:val="22"/>
                <w:szCs w:val="22"/>
              </w:rPr>
              <w:t>Ensure pupils have access to a trained Emotional Literacy Support Assistant (ELSA). Termly needs audit by ELSA and class teachers to assess unmet mental health needs.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29F4CFC1" w:rsidR="00E66558" w:rsidRPr="007F09F7" w:rsidRDefault="007F09F7">
            <w:pPr>
              <w:pStyle w:val="TableRowCentered"/>
              <w:jc w:val="left"/>
              <w:rPr>
                <w:sz w:val="22"/>
                <w:szCs w:val="22"/>
              </w:rPr>
            </w:pPr>
            <w:r>
              <w:rPr>
                <w:sz w:val="22"/>
                <w:szCs w:val="22"/>
              </w:rPr>
              <w:t>Research (See study by Bowerman &amp; Davies, Child and Ed</w:t>
            </w:r>
            <w:r w:rsidR="000265AF">
              <w:rPr>
                <w:sz w:val="22"/>
                <w:szCs w:val="22"/>
              </w:rPr>
              <w:t>ucational Psychologists ) suggest positive outcomes for LAC children in relation to access to ELSA.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BB8C603" w:rsidR="00E66558" w:rsidRPr="007F09F7" w:rsidRDefault="000265AF">
            <w:pPr>
              <w:pStyle w:val="TableRowCentered"/>
              <w:jc w:val="left"/>
              <w:rPr>
                <w:sz w:val="22"/>
                <w:szCs w:val="22"/>
              </w:rPr>
            </w:pPr>
            <w:r>
              <w:rPr>
                <w:sz w:val="22"/>
                <w:szCs w:val="22"/>
              </w:rPr>
              <w:t>4</w:t>
            </w:r>
          </w:p>
        </w:tc>
      </w:tr>
      <w:tr w:rsidR="000265AF" w14:paraId="60E5B47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46C8F" w14:textId="5C4542B4" w:rsidR="000265AF" w:rsidRDefault="000265AF">
            <w:pPr>
              <w:pStyle w:val="TableRow"/>
              <w:rPr>
                <w:sz w:val="22"/>
                <w:szCs w:val="22"/>
              </w:rPr>
            </w:pPr>
            <w:r>
              <w:rPr>
                <w:sz w:val="22"/>
                <w:szCs w:val="22"/>
              </w:rPr>
              <w:t>Provide access to school’s Parent Support Advisor who ca</w:t>
            </w:r>
            <w:r w:rsidR="00701F55">
              <w:rPr>
                <w:sz w:val="22"/>
                <w:szCs w:val="22"/>
              </w:rPr>
              <w:t>n provide support and advice,</w:t>
            </w:r>
            <w:r>
              <w:rPr>
                <w:sz w:val="22"/>
                <w:szCs w:val="22"/>
              </w:rPr>
              <w:t xml:space="preserve"> family signposting to parental course </w:t>
            </w:r>
            <w:r w:rsidR="00701F55">
              <w:rPr>
                <w:sz w:val="22"/>
                <w:szCs w:val="22"/>
              </w:rPr>
              <w:t>and supporting families to access charities where necessary eg local foodbank, clothing charity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59C5E" w14:textId="5F15894C" w:rsidR="000265AF" w:rsidRDefault="000265AF">
            <w:pPr>
              <w:pStyle w:val="TableRowCentered"/>
              <w:jc w:val="left"/>
              <w:rPr>
                <w:sz w:val="22"/>
                <w:szCs w:val="22"/>
              </w:rPr>
            </w:pPr>
            <w:r>
              <w:rPr>
                <w:sz w:val="22"/>
                <w:szCs w:val="22"/>
              </w:rPr>
              <w:t>EEF research indicates t</w:t>
            </w:r>
            <w:r w:rsidRPr="000265AF">
              <w:rPr>
                <w:sz w:val="22"/>
                <w:szCs w:val="22"/>
              </w:rPr>
              <w:t>he average impact of the Parental engagement approaches is about an additional four months’ progress over the course of a year. There are also higher impacts for pupils with low prior attainment</w:t>
            </w:r>
            <w:r>
              <w:rPr>
                <w:sz w:val="22"/>
                <w:szCs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C83B7" w14:textId="278CE97A" w:rsidR="000265AF" w:rsidRDefault="000265AF">
            <w:pPr>
              <w:pStyle w:val="TableRowCentered"/>
              <w:jc w:val="left"/>
              <w:rPr>
                <w:sz w:val="22"/>
                <w:szCs w:val="22"/>
              </w:rPr>
            </w:pPr>
            <w:r>
              <w:rPr>
                <w:sz w:val="22"/>
                <w:szCs w:val="22"/>
              </w:rPr>
              <w:t>3, 4</w:t>
            </w:r>
          </w:p>
        </w:tc>
      </w:tr>
      <w:tr w:rsidR="000265AF" w14:paraId="31C55AB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3C145" w14:textId="40673B23" w:rsidR="000265AF" w:rsidRDefault="00701F55">
            <w:pPr>
              <w:pStyle w:val="TableRow"/>
              <w:rPr>
                <w:sz w:val="22"/>
                <w:szCs w:val="22"/>
              </w:rPr>
            </w:pPr>
            <w:r>
              <w:rPr>
                <w:sz w:val="22"/>
                <w:szCs w:val="22"/>
              </w:rPr>
              <w:t>Ensure pupils are dressed in similar clothing to their peers by school purchasing school sweatshirts on their behalf – this ensures positive self -esteem within the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A2D8A" w14:textId="521ED0B0" w:rsidR="000265AF" w:rsidRDefault="00701F55" w:rsidP="00701F55">
            <w:pPr>
              <w:pStyle w:val="TableRowCentered"/>
              <w:jc w:val="left"/>
              <w:rPr>
                <w:sz w:val="22"/>
                <w:szCs w:val="22"/>
              </w:rPr>
            </w:pPr>
            <w:r>
              <w:rPr>
                <w:sz w:val="22"/>
                <w:szCs w:val="22"/>
              </w:rPr>
              <w:t>Although the EEF research stated that t</w:t>
            </w:r>
            <w:r w:rsidRPr="00701F55">
              <w:rPr>
                <w:sz w:val="22"/>
                <w:szCs w:val="22"/>
              </w:rPr>
              <w:t xml:space="preserve">he lack of studies </w:t>
            </w:r>
            <w:r>
              <w:rPr>
                <w:sz w:val="22"/>
                <w:szCs w:val="22"/>
              </w:rPr>
              <w:t>could not identify that a school uniform approach increased the progress for individual pupils, t</w:t>
            </w:r>
            <w:r w:rsidRPr="00701F55">
              <w:rPr>
                <w:sz w:val="22"/>
                <w:szCs w:val="22"/>
              </w:rPr>
              <w:t>here is a belief in some countries that school uniform supports the development of a whole school ethos and therefore supports discipline and motivation. Some also believe that a uniform promotes social equity.</w:t>
            </w:r>
            <w:r>
              <w:rPr>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1C6D2" w14:textId="6EA61B09" w:rsidR="000265AF" w:rsidRDefault="00701F55">
            <w:pPr>
              <w:pStyle w:val="TableRowCentered"/>
              <w:jc w:val="left"/>
              <w:rPr>
                <w:sz w:val="22"/>
                <w:szCs w:val="22"/>
              </w:rPr>
            </w:pPr>
            <w:r>
              <w:rPr>
                <w:sz w:val="22"/>
                <w:szCs w:val="22"/>
              </w:rPr>
              <w:t>4</w:t>
            </w:r>
          </w:p>
        </w:tc>
      </w:tr>
      <w:tr w:rsidR="00757862" w14:paraId="304DA8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2B4F3" w14:textId="1666E59E" w:rsidR="00757862" w:rsidRDefault="00757862" w:rsidP="00757862">
            <w:pPr>
              <w:pStyle w:val="TableRow"/>
              <w:rPr>
                <w:sz w:val="22"/>
                <w:szCs w:val="22"/>
              </w:rPr>
            </w:pPr>
            <w:r>
              <w:rPr>
                <w:sz w:val="22"/>
                <w:szCs w:val="22"/>
              </w:rPr>
              <w:t xml:space="preserve">Deploy appropriate IT equipment and resources for pupils who are required to undertake home learning for a period of time.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35036" w14:textId="77777777" w:rsidR="00757862" w:rsidRDefault="00757862" w:rsidP="00701F55">
            <w:pPr>
              <w:pStyle w:val="TableRowCentered"/>
              <w:jc w:val="left"/>
              <w:rPr>
                <w:sz w:val="22"/>
                <w:szCs w:val="22"/>
              </w:rPr>
            </w:pPr>
            <w:r>
              <w:rPr>
                <w:sz w:val="22"/>
                <w:szCs w:val="22"/>
              </w:rPr>
              <w:t>DFE’s Remote Education expectation state that</w:t>
            </w:r>
            <w:r>
              <w:t xml:space="preserve"> </w:t>
            </w:r>
            <w:r>
              <w:rPr>
                <w:sz w:val="22"/>
                <w:szCs w:val="22"/>
              </w:rPr>
              <w:t>t</w:t>
            </w:r>
            <w:r w:rsidRPr="00757862">
              <w:rPr>
                <w:sz w:val="22"/>
                <w:szCs w:val="22"/>
              </w:rPr>
              <w:t>he remote education provided should be equivalent in length to the core teaching pupils would receive in schoo</w:t>
            </w:r>
            <w:r>
              <w:rPr>
                <w:sz w:val="22"/>
                <w:szCs w:val="22"/>
              </w:rPr>
              <w:t xml:space="preserve">l. </w:t>
            </w:r>
          </w:p>
          <w:p w14:paraId="79948A37" w14:textId="022BB12E" w:rsidR="00757862" w:rsidRDefault="00757862" w:rsidP="00701F55">
            <w:pPr>
              <w:pStyle w:val="TableRowCentered"/>
              <w:jc w:val="left"/>
              <w:rPr>
                <w:sz w:val="22"/>
                <w:szCs w:val="22"/>
              </w:rPr>
            </w:pPr>
            <w:r>
              <w:rPr>
                <w:sz w:val="22"/>
                <w:szCs w:val="22"/>
              </w:rPr>
              <w:t xml:space="preserve">The school uses Google Classroom as their virtual learning platform. When </w:t>
            </w:r>
            <w:r>
              <w:rPr>
                <w:sz w:val="22"/>
                <w:szCs w:val="22"/>
              </w:rPr>
              <w:lastRenderedPageBreak/>
              <w:t xml:space="preserve">appropriate, school is able to provide appropriate tablets to access the Google Classroom.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76C2C" w14:textId="0E72B005" w:rsidR="00757862" w:rsidRDefault="00757862">
            <w:pPr>
              <w:pStyle w:val="TableRowCentered"/>
              <w:jc w:val="left"/>
              <w:rPr>
                <w:sz w:val="22"/>
                <w:szCs w:val="22"/>
              </w:rPr>
            </w:pPr>
            <w:r>
              <w:rPr>
                <w:sz w:val="22"/>
                <w:szCs w:val="22"/>
              </w:rPr>
              <w:lastRenderedPageBreak/>
              <w:t>6</w:t>
            </w:r>
          </w:p>
        </w:tc>
      </w:tr>
    </w:tbl>
    <w:p w14:paraId="2A7D5540" w14:textId="77777777" w:rsidR="00E66558" w:rsidRDefault="00E66558">
      <w:pPr>
        <w:spacing w:before="240" w:after="0"/>
        <w:rPr>
          <w:b/>
          <w:bCs/>
          <w:color w:val="104F75"/>
          <w:sz w:val="28"/>
          <w:szCs w:val="28"/>
        </w:rPr>
      </w:pPr>
    </w:p>
    <w:p w14:paraId="2A7D5541" w14:textId="1C4F2ACF" w:rsidR="00E66558" w:rsidRDefault="009D71E8" w:rsidP="00120AB1">
      <w:r w:rsidRPr="00C85A6C">
        <w:rPr>
          <w:b/>
          <w:bCs/>
          <w:color w:val="104F75"/>
          <w:sz w:val="28"/>
          <w:szCs w:val="28"/>
        </w:rPr>
        <w:t xml:space="preserve">Total budgeted cost: £ </w:t>
      </w:r>
      <w:r w:rsidR="00C85A6C" w:rsidRPr="00C85A6C">
        <w:rPr>
          <w:iCs/>
          <w:color w:val="104F75"/>
          <w:sz w:val="28"/>
          <w:szCs w:val="28"/>
        </w:rPr>
        <w:t>21,501</w:t>
      </w:r>
      <w:bookmarkStart w:id="17" w:name="_GoBack"/>
      <w:bookmarkEnd w:id="17"/>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B6932" w14:textId="192FF630" w:rsidR="00E66558" w:rsidRDefault="002C4AC0">
            <w:pPr>
              <w:rPr>
                <w:b/>
                <w:color w:val="1F497D" w:themeColor="text2"/>
                <w:sz w:val="28"/>
                <w:szCs w:val="28"/>
              </w:rPr>
            </w:pPr>
            <w:r w:rsidRPr="002C4AC0">
              <w:rPr>
                <w:b/>
                <w:color w:val="1F497D" w:themeColor="text2"/>
                <w:sz w:val="28"/>
                <w:szCs w:val="28"/>
              </w:rPr>
              <w:t>Impact of Teaching and Targeted Academic Support</w:t>
            </w:r>
          </w:p>
          <w:p w14:paraId="0C3C28E7" w14:textId="23A7CE9A" w:rsidR="006B5704" w:rsidRPr="006B5704" w:rsidRDefault="006B5704">
            <w:pPr>
              <w:rPr>
                <w:color w:val="auto"/>
                <w:u w:val="single"/>
              </w:rPr>
            </w:pPr>
            <w:r w:rsidRPr="006B5704">
              <w:rPr>
                <w:color w:val="auto"/>
              </w:rPr>
              <w:t>Because of the national lockdown 5/01/21 – 8/03/21, many disadvantaged children remained at home, even though they were eligible to come to school. This was despite encouragement from school including contact from class teachers and head teacher. Attendance.   Seven out of the fifteen pupils attended in some capacity, at least on a part-time basis, which is 47%. School offered, all of those remaining at home, a digital device – 1 child took up this offer – 12.5%</w:t>
            </w:r>
            <w:r w:rsidRPr="006B5704">
              <w:rPr>
                <w:color w:val="auto"/>
                <w:u w:val="single"/>
              </w:rPr>
              <w:t xml:space="preserve"> </w:t>
            </w:r>
          </w:p>
          <w:p w14:paraId="6004454F" w14:textId="7BBFE835" w:rsidR="002C4AC0" w:rsidRDefault="002C4AC0">
            <w:pPr>
              <w:rPr>
                <w:color w:val="auto"/>
                <w:u w:val="single"/>
              </w:rPr>
            </w:pPr>
            <w:r w:rsidRPr="002C4AC0">
              <w:rPr>
                <w:color w:val="auto"/>
                <w:u w:val="single"/>
              </w:rPr>
              <w:t>Internal Assessments – Summer 2021</w:t>
            </w:r>
          </w:p>
          <w:p w14:paraId="4BECCC80" w14:textId="460F3AEE" w:rsidR="00C560B3" w:rsidRDefault="002C4AC0">
            <w:pPr>
              <w:rPr>
                <w:color w:val="auto"/>
                <w:sz w:val="22"/>
                <w:szCs w:val="22"/>
                <w:u w:val="single"/>
              </w:rPr>
            </w:pPr>
            <w:r w:rsidRPr="009879F2">
              <w:rPr>
                <w:color w:val="auto"/>
                <w:sz w:val="22"/>
                <w:szCs w:val="22"/>
                <w:u w:val="single"/>
              </w:rPr>
              <w:t>Reading</w:t>
            </w:r>
          </w:p>
          <w:p w14:paraId="515495C6" w14:textId="77777777" w:rsidR="008C66D4" w:rsidRDefault="008C66D4">
            <w:pPr>
              <w:rPr>
                <w:color w:val="auto"/>
                <w:sz w:val="22"/>
                <w:szCs w:val="22"/>
                <w:u w:val="single"/>
              </w:rPr>
            </w:pPr>
          </w:p>
          <w:tbl>
            <w:tblPr>
              <w:tblStyle w:val="TableGrid"/>
              <w:tblpPr w:leftFromText="180" w:rightFromText="180" w:vertAnchor="text" w:horzAnchor="page" w:tblpX="547" w:tblpY="-280"/>
              <w:tblOverlap w:val="never"/>
              <w:tblW w:w="0" w:type="auto"/>
              <w:tblLook w:val="04A0" w:firstRow="1" w:lastRow="0" w:firstColumn="1" w:lastColumn="0" w:noHBand="0" w:noVBand="1"/>
            </w:tblPr>
            <w:tblGrid>
              <w:gridCol w:w="3235"/>
              <w:gridCol w:w="720"/>
              <w:gridCol w:w="720"/>
            </w:tblGrid>
            <w:tr w:rsidR="00C560B3" w14:paraId="297F8226" w14:textId="77777777" w:rsidTr="008C66D4">
              <w:trPr>
                <w:trHeight w:val="350"/>
              </w:trPr>
              <w:tc>
                <w:tcPr>
                  <w:tcW w:w="3235" w:type="dxa"/>
                </w:tcPr>
                <w:p w14:paraId="6F2D497F" w14:textId="77777777" w:rsidR="00C560B3" w:rsidRPr="002C4AC0" w:rsidRDefault="00C560B3" w:rsidP="00C560B3">
                  <w:pPr>
                    <w:rPr>
                      <w:b/>
                      <w:color w:val="auto"/>
                      <w:sz w:val="20"/>
                      <w:szCs w:val="20"/>
                      <w:u w:val="single"/>
                    </w:rPr>
                  </w:pPr>
                  <w:r w:rsidRPr="002C4AC0">
                    <w:rPr>
                      <w:b/>
                      <w:color w:val="auto"/>
                      <w:sz w:val="20"/>
                      <w:szCs w:val="20"/>
                      <w:u w:val="single"/>
                    </w:rPr>
                    <w:t>Pupil Premium/ Disadvantaged</w:t>
                  </w:r>
                </w:p>
              </w:tc>
              <w:tc>
                <w:tcPr>
                  <w:tcW w:w="720" w:type="dxa"/>
                </w:tcPr>
                <w:p w14:paraId="37697AAF" w14:textId="77777777" w:rsidR="00C560B3" w:rsidRPr="009879F2" w:rsidRDefault="00C560B3" w:rsidP="00C560B3">
                  <w:pPr>
                    <w:rPr>
                      <w:color w:val="auto"/>
                      <w:sz w:val="20"/>
                      <w:szCs w:val="20"/>
                    </w:rPr>
                  </w:pPr>
                </w:p>
              </w:tc>
              <w:tc>
                <w:tcPr>
                  <w:tcW w:w="720" w:type="dxa"/>
                </w:tcPr>
                <w:p w14:paraId="649454A1" w14:textId="77777777" w:rsidR="00C560B3" w:rsidRPr="009879F2" w:rsidRDefault="00C560B3" w:rsidP="00C560B3">
                  <w:pPr>
                    <w:rPr>
                      <w:color w:val="auto"/>
                      <w:sz w:val="20"/>
                      <w:szCs w:val="20"/>
                    </w:rPr>
                  </w:pPr>
                </w:p>
              </w:tc>
            </w:tr>
            <w:tr w:rsidR="00C560B3" w14:paraId="73C92518" w14:textId="77777777" w:rsidTr="008C66D4">
              <w:trPr>
                <w:trHeight w:val="186"/>
              </w:trPr>
              <w:tc>
                <w:tcPr>
                  <w:tcW w:w="3235" w:type="dxa"/>
                </w:tcPr>
                <w:p w14:paraId="1BB0C798" w14:textId="77777777" w:rsidR="00C560B3" w:rsidRPr="002C4AC0" w:rsidRDefault="00C560B3" w:rsidP="00C560B3">
                  <w:pPr>
                    <w:rPr>
                      <w:color w:val="auto"/>
                      <w:sz w:val="18"/>
                      <w:szCs w:val="18"/>
                    </w:rPr>
                  </w:pPr>
                  <w:r w:rsidRPr="002C4AC0">
                    <w:rPr>
                      <w:color w:val="auto"/>
                      <w:sz w:val="18"/>
                      <w:szCs w:val="18"/>
                    </w:rPr>
                    <w:t>Below expected Progress</w:t>
                  </w:r>
                </w:p>
              </w:tc>
              <w:tc>
                <w:tcPr>
                  <w:tcW w:w="720" w:type="dxa"/>
                </w:tcPr>
                <w:p w14:paraId="67E5D940" w14:textId="77777777" w:rsidR="00C560B3" w:rsidRPr="009879F2" w:rsidRDefault="00C560B3" w:rsidP="00C560B3">
                  <w:pPr>
                    <w:rPr>
                      <w:color w:val="auto"/>
                      <w:sz w:val="20"/>
                      <w:szCs w:val="20"/>
                    </w:rPr>
                  </w:pPr>
                  <w:r w:rsidRPr="009879F2">
                    <w:rPr>
                      <w:color w:val="auto"/>
                      <w:sz w:val="20"/>
                      <w:szCs w:val="20"/>
                    </w:rPr>
                    <w:t>2/15</w:t>
                  </w:r>
                </w:p>
              </w:tc>
              <w:tc>
                <w:tcPr>
                  <w:tcW w:w="720" w:type="dxa"/>
                </w:tcPr>
                <w:p w14:paraId="77CC4D94" w14:textId="77777777" w:rsidR="00C560B3" w:rsidRPr="009879F2" w:rsidRDefault="00C560B3" w:rsidP="00C560B3">
                  <w:pPr>
                    <w:rPr>
                      <w:color w:val="auto"/>
                      <w:sz w:val="20"/>
                      <w:szCs w:val="20"/>
                    </w:rPr>
                  </w:pPr>
                  <w:r w:rsidRPr="009879F2">
                    <w:rPr>
                      <w:color w:val="auto"/>
                      <w:sz w:val="20"/>
                      <w:szCs w:val="20"/>
                    </w:rPr>
                    <w:t>13%</w:t>
                  </w:r>
                </w:p>
              </w:tc>
            </w:tr>
            <w:tr w:rsidR="00C560B3" w14:paraId="0064E93E" w14:textId="77777777" w:rsidTr="008C66D4">
              <w:trPr>
                <w:trHeight w:val="91"/>
              </w:trPr>
              <w:tc>
                <w:tcPr>
                  <w:tcW w:w="3235" w:type="dxa"/>
                </w:tcPr>
                <w:p w14:paraId="06A0ED27" w14:textId="77777777" w:rsidR="00C560B3" w:rsidRPr="002C4AC0" w:rsidRDefault="00C560B3" w:rsidP="00C560B3">
                  <w:pPr>
                    <w:rPr>
                      <w:color w:val="auto"/>
                      <w:sz w:val="18"/>
                      <w:szCs w:val="18"/>
                    </w:rPr>
                  </w:pPr>
                  <w:r w:rsidRPr="002C4AC0">
                    <w:rPr>
                      <w:color w:val="auto"/>
                      <w:sz w:val="18"/>
                      <w:szCs w:val="18"/>
                    </w:rPr>
                    <w:t>Expected progress or better</w:t>
                  </w:r>
                </w:p>
              </w:tc>
              <w:tc>
                <w:tcPr>
                  <w:tcW w:w="720" w:type="dxa"/>
                </w:tcPr>
                <w:p w14:paraId="66B6A624" w14:textId="77777777" w:rsidR="00C560B3" w:rsidRPr="009879F2" w:rsidRDefault="00C560B3" w:rsidP="00C560B3">
                  <w:pPr>
                    <w:rPr>
                      <w:color w:val="auto"/>
                      <w:sz w:val="20"/>
                      <w:szCs w:val="20"/>
                    </w:rPr>
                  </w:pPr>
                  <w:r>
                    <w:rPr>
                      <w:color w:val="auto"/>
                      <w:sz w:val="20"/>
                      <w:szCs w:val="20"/>
                    </w:rPr>
                    <w:t>13/15</w:t>
                  </w:r>
                </w:p>
              </w:tc>
              <w:tc>
                <w:tcPr>
                  <w:tcW w:w="720" w:type="dxa"/>
                </w:tcPr>
                <w:p w14:paraId="08109D08" w14:textId="77777777" w:rsidR="00C560B3" w:rsidRPr="009879F2" w:rsidRDefault="00C560B3" w:rsidP="00C560B3">
                  <w:pPr>
                    <w:rPr>
                      <w:color w:val="auto"/>
                      <w:sz w:val="20"/>
                      <w:szCs w:val="20"/>
                    </w:rPr>
                  </w:pPr>
                  <w:r w:rsidRPr="009879F2">
                    <w:rPr>
                      <w:color w:val="auto"/>
                      <w:sz w:val="20"/>
                      <w:szCs w:val="20"/>
                    </w:rPr>
                    <w:t>87%</w:t>
                  </w:r>
                </w:p>
              </w:tc>
            </w:tr>
            <w:tr w:rsidR="00C560B3" w14:paraId="3EEF169E" w14:textId="77777777" w:rsidTr="008C66D4">
              <w:trPr>
                <w:trHeight w:val="170"/>
              </w:trPr>
              <w:tc>
                <w:tcPr>
                  <w:tcW w:w="3235" w:type="dxa"/>
                </w:tcPr>
                <w:p w14:paraId="3A549EE1" w14:textId="77777777" w:rsidR="00C560B3" w:rsidRPr="002C4AC0" w:rsidRDefault="00C560B3" w:rsidP="00C560B3">
                  <w:pPr>
                    <w:rPr>
                      <w:color w:val="auto"/>
                      <w:sz w:val="18"/>
                      <w:szCs w:val="18"/>
                    </w:rPr>
                  </w:pPr>
                  <w:r w:rsidRPr="002C4AC0">
                    <w:rPr>
                      <w:color w:val="auto"/>
                      <w:sz w:val="18"/>
                      <w:szCs w:val="18"/>
                    </w:rPr>
                    <w:t>Above expected progress</w:t>
                  </w:r>
                </w:p>
              </w:tc>
              <w:tc>
                <w:tcPr>
                  <w:tcW w:w="720" w:type="dxa"/>
                </w:tcPr>
                <w:p w14:paraId="5B5FEFC9" w14:textId="77777777" w:rsidR="00C560B3" w:rsidRPr="009879F2" w:rsidRDefault="00C560B3" w:rsidP="00C560B3">
                  <w:pPr>
                    <w:rPr>
                      <w:color w:val="auto"/>
                      <w:sz w:val="20"/>
                      <w:szCs w:val="20"/>
                    </w:rPr>
                  </w:pPr>
                  <w:r>
                    <w:rPr>
                      <w:color w:val="auto"/>
                      <w:sz w:val="20"/>
                      <w:szCs w:val="20"/>
                    </w:rPr>
                    <w:t>4/15</w:t>
                  </w:r>
                </w:p>
              </w:tc>
              <w:tc>
                <w:tcPr>
                  <w:tcW w:w="720" w:type="dxa"/>
                </w:tcPr>
                <w:p w14:paraId="0A7ED647" w14:textId="77777777" w:rsidR="00C560B3" w:rsidRPr="009879F2" w:rsidRDefault="00C560B3" w:rsidP="00C560B3">
                  <w:pPr>
                    <w:rPr>
                      <w:color w:val="auto"/>
                      <w:sz w:val="20"/>
                      <w:szCs w:val="20"/>
                    </w:rPr>
                  </w:pPr>
                  <w:r>
                    <w:rPr>
                      <w:color w:val="auto"/>
                      <w:sz w:val="20"/>
                      <w:szCs w:val="20"/>
                    </w:rPr>
                    <w:t>27%</w:t>
                  </w:r>
                </w:p>
              </w:tc>
            </w:tr>
          </w:tbl>
          <w:p w14:paraId="59147EA9" w14:textId="77777777" w:rsidR="00C560B3" w:rsidRPr="009879F2" w:rsidRDefault="00C560B3">
            <w:pPr>
              <w:rPr>
                <w:color w:val="auto"/>
                <w:sz w:val="22"/>
                <w:szCs w:val="22"/>
                <w:u w:val="single"/>
              </w:rPr>
            </w:pPr>
          </w:p>
          <w:p w14:paraId="36FD7459" w14:textId="77777777" w:rsidR="002C4AC0" w:rsidRDefault="002C4AC0">
            <w:pPr>
              <w:rPr>
                <w:color w:val="auto"/>
                <w:u w:val="single"/>
              </w:rPr>
            </w:pPr>
          </w:p>
          <w:p w14:paraId="27A774C5" w14:textId="77777777" w:rsidR="002C4AC0" w:rsidRDefault="002C4AC0">
            <w:pPr>
              <w:rPr>
                <w:color w:val="auto"/>
                <w:u w:val="single"/>
              </w:rPr>
            </w:pPr>
          </w:p>
          <w:p w14:paraId="1647E019" w14:textId="09C3BAB8" w:rsidR="00C560B3" w:rsidRDefault="00C560B3">
            <w:pPr>
              <w:rPr>
                <w:color w:val="auto"/>
                <w:u w:val="single"/>
              </w:rPr>
            </w:pPr>
          </w:p>
          <w:p w14:paraId="4E057E90" w14:textId="1FC65216" w:rsidR="002C4AC0" w:rsidRDefault="002C4AC0">
            <w:pPr>
              <w:rPr>
                <w:color w:val="auto"/>
                <w:u w:val="single"/>
              </w:rPr>
            </w:pPr>
            <w:r>
              <w:rPr>
                <w:color w:val="auto"/>
                <w:u w:val="single"/>
              </w:rPr>
              <w:t>Writing</w:t>
            </w:r>
          </w:p>
          <w:tbl>
            <w:tblPr>
              <w:tblStyle w:val="TableGrid"/>
              <w:tblpPr w:leftFromText="180" w:rightFromText="180" w:vertAnchor="text" w:horzAnchor="page" w:tblpX="547" w:tblpY="-13"/>
              <w:tblOverlap w:val="never"/>
              <w:tblW w:w="0" w:type="auto"/>
              <w:tblLook w:val="04A0" w:firstRow="1" w:lastRow="0" w:firstColumn="1" w:lastColumn="0" w:noHBand="0" w:noVBand="1"/>
            </w:tblPr>
            <w:tblGrid>
              <w:gridCol w:w="3235"/>
              <w:gridCol w:w="720"/>
              <w:gridCol w:w="720"/>
            </w:tblGrid>
            <w:tr w:rsidR="00C560B3" w14:paraId="27C4FE33" w14:textId="77777777" w:rsidTr="00C560B3">
              <w:trPr>
                <w:trHeight w:val="230"/>
              </w:trPr>
              <w:tc>
                <w:tcPr>
                  <w:tcW w:w="3235" w:type="dxa"/>
                </w:tcPr>
                <w:p w14:paraId="07995632" w14:textId="77777777" w:rsidR="00C560B3" w:rsidRPr="002C4AC0" w:rsidRDefault="00C560B3" w:rsidP="00C560B3">
                  <w:pPr>
                    <w:rPr>
                      <w:b/>
                      <w:color w:val="auto"/>
                      <w:sz w:val="20"/>
                      <w:szCs w:val="20"/>
                      <w:u w:val="single"/>
                    </w:rPr>
                  </w:pPr>
                  <w:r w:rsidRPr="002C4AC0">
                    <w:rPr>
                      <w:b/>
                      <w:color w:val="auto"/>
                      <w:sz w:val="20"/>
                      <w:szCs w:val="20"/>
                      <w:u w:val="single"/>
                    </w:rPr>
                    <w:t>Pupil Premium/ Disadvantaged</w:t>
                  </w:r>
                </w:p>
              </w:tc>
              <w:tc>
                <w:tcPr>
                  <w:tcW w:w="720" w:type="dxa"/>
                </w:tcPr>
                <w:p w14:paraId="208C665A" w14:textId="77777777" w:rsidR="00C560B3" w:rsidRPr="009879F2" w:rsidRDefault="00C560B3" w:rsidP="00C560B3">
                  <w:pPr>
                    <w:rPr>
                      <w:color w:val="auto"/>
                      <w:sz w:val="22"/>
                      <w:szCs w:val="22"/>
                    </w:rPr>
                  </w:pPr>
                </w:p>
              </w:tc>
              <w:tc>
                <w:tcPr>
                  <w:tcW w:w="720" w:type="dxa"/>
                </w:tcPr>
                <w:p w14:paraId="453F4849" w14:textId="77777777" w:rsidR="00C560B3" w:rsidRPr="009879F2" w:rsidRDefault="00C560B3" w:rsidP="00C560B3">
                  <w:pPr>
                    <w:rPr>
                      <w:color w:val="auto"/>
                      <w:sz w:val="22"/>
                      <w:szCs w:val="22"/>
                    </w:rPr>
                  </w:pPr>
                </w:p>
              </w:tc>
            </w:tr>
            <w:tr w:rsidR="00C560B3" w14:paraId="06661C1D" w14:textId="77777777" w:rsidTr="00C560B3">
              <w:trPr>
                <w:trHeight w:val="117"/>
              </w:trPr>
              <w:tc>
                <w:tcPr>
                  <w:tcW w:w="3235" w:type="dxa"/>
                </w:tcPr>
                <w:p w14:paraId="4B58B0A9" w14:textId="77777777" w:rsidR="00C560B3" w:rsidRPr="002C4AC0" w:rsidRDefault="00C560B3" w:rsidP="00C560B3">
                  <w:pPr>
                    <w:rPr>
                      <w:color w:val="auto"/>
                      <w:sz w:val="18"/>
                      <w:szCs w:val="18"/>
                    </w:rPr>
                  </w:pPr>
                  <w:r w:rsidRPr="002C4AC0">
                    <w:rPr>
                      <w:color w:val="auto"/>
                      <w:sz w:val="18"/>
                      <w:szCs w:val="18"/>
                    </w:rPr>
                    <w:t>Below expected Progress</w:t>
                  </w:r>
                </w:p>
              </w:tc>
              <w:tc>
                <w:tcPr>
                  <w:tcW w:w="720" w:type="dxa"/>
                </w:tcPr>
                <w:p w14:paraId="247E1DD6" w14:textId="77777777" w:rsidR="00C560B3" w:rsidRPr="009879F2" w:rsidRDefault="00C560B3" w:rsidP="00C560B3">
                  <w:pPr>
                    <w:rPr>
                      <w:color w:val="auto"/>
                      <w:sz w:val="22"/>
                      <w:szCs w:val="22"/>
                    </w:rPr>
                  </w:pPr>
                  <w:r>
                    <w:rPr>
                      <w:color w:val="auto"/>
                      <w:sz w:val="22"/>
                      <w:szCs w:val="22"/>
                    </w:rPr>
                    <w:t>6/15</w:t>
                  </w:r>
                </w:p>
              </w:tc>
              <w:tc>
                <w:tcPr>
                  <w:tcW w:w="720" w:type="dxa"/>
                </w:tcPr>
                <w:p w14:paraId="154B5770" w14:textId="77777777" w:rsidR="00C560B3" w:rsidRPr="009879F2" w:rsidRDefault="00C560B3" w:rsidP="00C560B3">
                  <w:pPr>
                    <w:rPr>
                      <w:color w:val="auto"/>
                      <w:sz w:val="22"/>
                      <w:szCs w:val="22"/>
                    </w:rPr>
                  </w:pPr>
                  <w:r>
                    <w:rPr>
                      <w:color w:val="auto"/>
                      <w:sz w:val="22"/>
                      <w:szCs w:val="22"/>
                    </w:rPr>
                    <w:t>40%</w:t>
                  </w:r>
                </w:p>
              </w:tc>
            </w:tr>
            <w:tr w:rsidR="00C560B3" w14:paraId="0CB6A458" w14:textId="77777777" w:rsidTr="00C560B3">
              <w:trPr>
                <w:trHeight w:val="119"/>
              </w:trPr>
              <w:tc>
                <w:tcPr>
                  <w:tcW w:w="3235" w:type="dxa"/>
                </w:tcPr>
                <w:p w14:paraId="16512F66" w14:textId="77777777" w:rsidR="00C560B3" w:rsidRPr="002C4AC0" w:rsidRDefault="00C560B3" w:rsidP="00C560B3">
                  <w:pPr>
                    <w:rPr>
                      <w:color w:val="auto"/>
                      <w:sz w:val="18"/>
                      <w:szCs w:val="18"/>
                    </w:rPr>
                  </w:pPr>
                  <w:r w:rsidRPr="002C4AC0">
                    <w:rPr>
                      <w:color w:val="auto"/>
                      <w:sz w:val="18"/>
                      <w:szCs w:val="18"/>
                    </w:rPr>
                    <w:t>Expected progress or better</w:t>
                  </w:r>
                </w:p>
              </w:tc>
              <w:tc>
                <w:tcPr>
                  <w:tcW w:w="720" w:type="dxa"/>
                </w:tcPr>
                <w:p w14:paraId="43940BA2" w14:textId="77777777" w:rsidR="00C560B3" w:rsidRPr="009879F2" w:rsidRDefault="00C560B3" w:rsidP="00C560B3">
                  <w:pPr>
                    <w:rPr>
                      <w:color w:val="auto"/>
                      <w:sz w:val="22"/>
                      <w:szCs w:val="22"/>
                    </w:rPr>
                  </w:pPr>
                  <w:r w:rsidRPr="009879F2">
                    <w:rPr>
                      <w:color w:val="auto"/>
                      <w:sz w:val="22"/>
                      <w:szCs w:val="22"/>
                    </w:rPr>
                    <w:t>9/15</w:t>
                  </w:r>
                </w:p>
              </w:tc>
              <w:tc>
                <w:tcPr>
                  <w:tcW w:w="720" w:type="dxa"/>
                </w:tcPr>
                <w:p w14:paraId="218F2CCE" w14:textId="77777777" w:rsidR="00C560B3" w:rsidRPr="009879F2" w:rsidRDefault="00C560B3" w:rsidP="00C560B3">
                  <w:pPr>
                    <w:rPr>
                      <w:color w:val="auto"/>
                      <w:sz w:val="22"/>
                      <w:szCs w:val="22"/>
                    </w:rPr>
                  </w:pPr>
                  <w:r w:rsidRPr="009879F2">
                    <w:rPr>
                      <w:color w:val="auto"/>
                      <w:sz w:val="22"/>
                      <w:szCs w:val="22"/>
                    </w:rPr>
                    <w:t>60%</w:t>
                  </w:r>
                </w:p>
              </w:tc>
            </w:tr>
            <w:tr w:rsidR="00C560B3" w14:paraId="035804A6" w14:textId="77777777" w:rsidTr="00C560B3">
              <w:trPr>
                <w:trHeight w:val="51"/>
              </w:trPr>
              <w:tc>
                <w:tcPr>
                  <w:tcW w:w="3235" w:type="dxa"/>
                </w:tcPr>
                <w:p w14:paraId="55CB7EB6" w14:textId="77777777" w:rsidR="00C560B3" w:rsidRPr="002C4AC0" w:rsidRDefault="00C560B3" w:rsidP="00C560B3">
                  <w:pPr>
                    <w:rPr>
                      <w:color w:val="auto"/>
                      <w:sz w:val="18"/>
                      <w:szCs w:val="18"/>
                    </w:rPr>
                  </w:pPr>
                  <w:r w:rsidRPr="002C4AC0">
                    <w:rPr>
                      <w:color w:val="auto"/>
                      <w:sz w:val="18"/>
                      <w:szCs w:val="18"/>
                    </w:rPr>
                    <w:t>Above expected progress</w:t>
                  </w:r>
                </w:p>
              </w:tc>
              <w:tc>
                <w:tcPr>
                  <w:tcW w:w="720" w:type="dxa"/>
                </w:tcPr>
                <w:p w14:paraId="7AC8F58A" w14:textId="77777777" w:rsidR="00C560B3" w:rsidRPr="009879F2" w:rsidRDefault="00C560B3" w:rsidP="00C560B3">
                  <w:pPr>
                    <w:rPr>
                      <w:color w:val="auto"/>
                      <w:sz w:val="22"/>
                      <w:szCs w:val="22"/>
                    </w:rPr>
                  </w:pPr>
                  <w:r>
                    <w:rPr>
                      <w:color w:val="auto"/>
                      <w:sz w:val="22"/>
                      <w:szCs w:val="22"/>
                    </w:rPr>
                    <w:t>4/15</w:t>
                  </w:r>
                </w:p>
              </w:tc>
              <w:tc>
                <w:tcPr>
                  <w:tcW w:w="720" w:type="dxa"/>
                </w:tcPr>
                <w:p w14:paraId="0A809EC8" w14:textId="77777777" w:rsidR="00C560B3" w:rsidRPr="009879F2" w:rsidRDefault="00C560B3" w:rsidP="00C560B3">
                  <w:pPr>
                    <w:rPr>
                      <w:color w:val="auto"/>
                      <w:sz w:val="22"/>
                      <w:szCs w:val="22"/>
                    </w:rPr>
                  </w:pPr>
                  <w:r>
                    <w:rPr>
                      <w:color w:val="auto"/>
                      <w:sz w:val="22"/>
                      <w:szCs w:val="22"/>
                    </w:rPr>
                    <w:t>27%</w:t>
                  </w:r>
                </w:p>
              </w:tc>
            </w:tr>
          </w:tbl>
          <w:p w14:paraId="6E5AB5A0" w14:textId="3249A32B" w:rsidR="002C4AC0" w:rsidRDefault="002C4AC0">
            <w:pPr>
              <w:rPr>
                <w:color w:val="auto"/>
                <w:u w:val="single"/>
              </w:rPr>
            </w:pPr>
          </w:p>
          <w:p w14:paraId="63415808" w14:textId="7E899E5B" w:rsidR="002C4AC0" w:rsidRDefault="002C4AC0">
            <w:pPr>
              <w:rPr>
                <w:color w:val="auto"/>
                <w:u w:val="single"/>
              </w:rPr>
            </w:pPr>
          </w:p>
          <w:p w14:paraId="008CFBA1" w14:textId="6B9DD89E" w:rsidR="002C4AC0" w:rsidRDefault="002C4AC0">
            <w:pPr>
              <w:rPr>
                <w:color w:val="auto"/>
                <w:u w:val="single"/>
              </w:rPr>
            </w:pPr>
          </w:p>
          <w:p w14:paraId="218C1CC3" w14:textId="16372511" w:rsidR="002C4AC0" w:rsidRDefault="002C4AC0">
            <w:pPr>
              <w:rPr>
                <w:color w:val="auto"/>
                <w:u w:val="single"/>
              </w:rPr>
            </w:pPr>
          </w:p>
          <w:p w14:paraId="5C95BD9D" w14:textId="77777777" w:rsidR="002C4AC0" w:rsidRDefault="002C4AC0">
            <w:pPr>
              <w:rPr>
                <w:color w:val="auto"/>
                <w:u w:val="single"/>
              </w:rPr>
            </w:pPr>
          </w:p>
          <w:p w14:paraId="38D54C4D" w14:textId="5A6414AE" w:rsidR="002C4AC0" w:rsidRDefault="002C4AC0">
            <w:pPr>
              <w:rPr>
                <w:color w:val="auto"/>
                <w:u w:val="single"/>
              </w:rPr>
            </w:pPr>
            <w:r>
              <w:rPr>
                <w:color w:val="auto"/>
                <w:u w:val="single"/>
              </w:rPr>
              <w:t>Maths</w:t>
            </w:r>
          </w:p>
          <w:tbl>
            <w:tblPr>
              <w:tblStyle w:val="TableGrid"/>
              <w:tblpPr w:leftFromText="180" w:rightFromText="180" w:vertAnchor="text" w:horzAnchor="page" w:tblpX="547" w:tblpYSpec="outside"/>
              <w:tblOverlap w:val="never"/>
              <w:tblW w:w="0" w:type="auto"/>
              <w:tblLook w:val="04A0" w:firstRow="1" w:lastRow="0" w:firstColumn="1" w:lastColumn="0" w:noHBand="0" w:noVBand="1"/>
            </w:tblPr>
            <w:tblGrid>
              <w:gridCol w:w="3235"/>
              <w:gridCol w:w="900"/>
              <w:gridCol w:w="720"/>
            </w:tblGrid>
            <w:tr w:rsidR="00C560B3" w14:paraId="6507A3D9" w14:textId="77777777" w:rsidTr="00C560B3">
              <w:trPr>
                <w:trHeight w:val="230"/>
              </w:trPr>
              <w:tc>
                <w:tcPr>
                  <w:tcW w:w="3235" w:type="dxa"/>
                </w:tcPr>
                <w:p w14:paraId="3A382B55" w14:textId="77777777" w:rsidR="00C560B3" w:rsidRPr="002C4AC0" w:rsidRDefault="00C560B3" w:rsidP="00C560B3">
                  <w:pPr>
                    <w:rPr>
                      <w:b/>
                      <w:color w:val="auto"/>
                      <w:sz w:val="20"/>
                      <w:szCs w:val="20"/>
                      <w:u w:val="single"/>
                    </w:rPr>
                  </w:pPr>
                  <w:r w:rsidRPr="002C4AC0">
                    <w:rPr>
                      <w:b/>
                      <w:color w:val="auto"/>
                      <w:sz w:val="20"/>
                      <w:szCs w:val="20"/>
                      <w:u w:val="single"/>
                    </w:rPr>
                    <w:t>Pupil Premium/ Disadvantaged</w:t>
                  </w:r>
                </w:p>
              </w:tc>
              <w:tc>
                <w:tcPr>
                  <w:tcW w:w="900" w:type="dxa"/>
                </w:tcPr>
                <w:p w14:paraId="17E3259C" w14:textId="77777777" w:rsidR="00C560B3" w:rsidRPr="009879F2" w:rsidRDefault="00C560B3" w:rsidP="00C560B3">
                  <w:pPr>
                    <w:rPr>
                      <w:color w:val="auto"/>
                      <w:sz w:val="22"/>
                      <w:szCs w:val="22"/>
                    </w:rPr>
                  </w:pPr>
                </w:p>
              </w:tc>
              <w:tc>
                <w:tcPr>
                  <w:tcW w:w="720" w:type="dxa"/>
                </w:tcPr>
                <w:p w14:paraId="0026A153" w14:textId="77777777" w:rsidR="00C560B3" w:rsidRPr="009879F2" w:rsidRDefault="00C560B3" w:rsidP="00C560B3">
                  <w:pPr>
                    <w:rPr>
                      <w:color w:val="auto"/>
                      <w:sz w:val="22"/>
                      <w:szCs w:val="22"/>
                    </w:rPr>
                  </w:pPr>
                </w:p>
              </w:tc>
            </w:tr>
            <w:tr w:rsidR="00C560B3" w14:paraId="7BA2D103" w14:textId="77777777" w:rsidTr="00C560B3">
              <w:trPr>
                <w:trHeight w:val="117"/>
              </w:trPr>
              <w:tc>
                <w:tcPr>
                  <w:tcW w:w="3235" w:type="dxa"/>
                </w:tcPr>
                <w:p w14:paraId="7125AC99" w14:textId="77777777" w:rsidR="00C560B3" w:rsidRPr="002C4AC0" w:rsidRDefault="00C560B3" w:rsidP="00C560B3">
                  <w:pPr>
                    <w:rPr>
                      <w:color w:val="auto"/>
                      <w:sz w:val="18"/>
                      <w:szCs w:val="18"/>
                    </w:rPr>
                  </w:pPr>
                  <w:r w:rsidRPr="002C4AC0">
                    <w:rPr>
                      <w:color w:val="auto"/>
                      <w:sz w:val="18"/>
                      <w:szCs w:val="18"/>
                    </w:rPr>
                    <w:lastRenderedPageBreak/>
                    <w:t>Below expected Progress</w:t>
                  </w:r>
                </w:p>
              </w:tc>
              <w:tc>
                <w:tcPr>
                  <w:tcW w:w="900" w:type="dxa"/>
                </w:tcPr>
                <w:p w14:paraId="4D5B5FF8" w14:textId="77777777" w:rsidR="00C560B3" w:rsidRPr="009879F2" w:rsidRDefault="00C560B3" w:rsidP="00C560B3">
                  <w:pPr>
                    <w:rPr>
                      <w:color w:val="auto"/>
                      <w:sz w:val="22"/>
                      <w:szCs w:val="22"/>
                    </w:rPr>
                  </w:pPr>
                  <w:r>
                    <w:rPr>
                      <w:color w:val="auto"/>
                      <w:sz w:val="22"/>
                      <w:szCs w:val="22"/>
                    </w:rPr>
                    <w:t>4/15</w:t>
                  </w:r>
                </w:p>
              </w:tc>
              <w:tc>
                <w:tcPr>
                  <w:tcW w:w="720" w:type="dxa"/>
                </w:tcPr>
                <w:p w14:paraId="457D86A2" w14:textId="77777777" w:rsidR="00C560B3" w:rsidRPr="009879F2" w:rsidRDefault="00C560B3" w:rsidP="00C560B3">
                  <w:pPr>
                    <w:rPr>
                      <w:color w:val="auto"/>
                      <w:sz w:val="22"/>
                      <w:szCs w:val="22"/>
                    </w:rPr>
                  </w:pPr>
                  <w:r>
                    <w:rPr>
                      <w:color w:val="auto"/>
                      <w:sz w:val="22"/>
                      <w:szCs w:val="22"/>
                    </w:rPr>
                    <w:t>27%</w:t>
                  </w:r>
                </w:p>
              </w:tc>
            </w:tr>
            <w:tr w:rsidR="00C560B3" w14:paraId="13C8C289" w14:textId="77777777" w:rsidTr="00C560B3">
              <w:trPr>
                <w:trHeight w:val="119"/>
              </w:trPr>
              <w:tc>
                <w:tcPr>
                  <w:tcW w:w="3235" w:type="dxa"/>
                </w:tcPr>
                <w:p w14:paraId="303949F7" w14:textId="77777777" w:rsidR="00C560B3" w:rsidRPr="002C4AC0" w:rsidRDefault="00C560B3" w:rsidP="00C560B3">
                  <w:pPr>
                    <w:rPr>
                      <w:color w:val="auto"/>
                      <w:sz w:val="18"/>
                      <w:szCs w:val="18"/>
                    </w:rPr>
                  </w:pPr>
                  <w:r w:rsidRPr="002C4AC0">
                    <w:rPr>
                      <w:color w:val="auto"/>
                      <w:sz w:val="18"/>
                      <w:szCs w:val="18"/>
                    </w:rPr>
                    <w:t>Expected progress or better</w:t>
                  </w:r>
                </w:p>
              </w:tc>
              <w:tc>
                <w:tcPr>
                  <w:tcW w:w="900" w:type="dxa"/>
                </w:tcPr>
                <w:p w14:paraId="20D75589" w14:textId="77777777" w:rsidR="00C560B3" w:rsidRPr="009879F2" w:rsidRDefault="00C560B3" w:rsidP="00C560B3">
                  <w:pPr>
                    <w:rPr>
                      <w:color w:val="auto"/>
                      <w:sz w:val="22"/>
                      <w:szCs w:val="22"/>
                    </w:rPr>
                  </w:pPr>
                  <w:r w:rsidRPr="009879F2">
                    <w:rPr>
                      <w:color w:val="auto"/>
                      <w:sz w:val="22"/>
                      <w:szCs w:val="22"/>
                    </w:rPr>
                    <w:t>11/15</w:t>
                  </w:r>
                </w:p>
              </w:tc>
              <w:tc>
                <w:tcPr>
                  <w:tcW w:w="720" w:type="dxa"/>
                </w:tcPr>
                <w:p w14:paraId="7FF92336" w14:textId="77777777" w:rsidR="00C560B3" w:rsidRPr="009879F2" w:rsidRDefault="00C560B3" w:rsidP="00C560B3">
                  <w:pPr>
                    <w:rPr>
                      <w:color w:val="auto"/>
                      <w:sz w:val="22"/>
                      <w:szCs w:val="22"/>
                    </w:rPr>
                  </w:pPr>
                  <w:r w:rsidRPr="009879F2">
                    <w:rPr>
                      <w:color w:val="auto"/>
                      <w:sz w:val="22"/>
                      <w:szCs w:val="22"/>
                    </w:rPr>
                    <w:t>73%</w:t>
                  </w:r>
                </w:p>
              </w:tc>
            </w:tr>
            <w:tr w:rsidR="00C560B3" w14:paraId="49FDFDD5" w14:textId="77777777" w:rsidTr="00C560B3">
              <w:trPr>
                <w:trHeight w:val="51"/>
              </w:trPr>
              <w:tc>
                <w:tcPr>
                  <w:tcW w:w="3235" w:type="dxa"/>
                </w:tcPr>
                <w:p w14:paraId="17DBB540" w14:textId="77777777" w:rsidR="00C560B3" w:rsidRPr="002C4AC0" w:rsidRDefault="00C560B3" w:rsidP="00C560B3">
                  <w:pPr>
                    <w:rPr>
                      <w:color w:val="auto"/>
                      <w:sz w:val="18"/>
                      <w:szCs w:val="18"/>
                    </w:rPr>
                  </w:pPr>
                  <w:r w:rsidRPr="002C4AC0">
                    <w:rPr>
                      <w:color w:val="auto"/>
                      <w:sz w:val="18"/>
                      <w:szCs w:val="18"/>
                    </w:rPr>
                    <w:t>Above expected progress</w:t>
                  </w:r>
                </w:p>
              </w:tc>
              <w:tc>
                <w:tcPr>
                  <w:tcW w:w="900" w:type="dxa"/>
                </w:tcPr>
                <w:p w14:paraId="62C5038F" w14:textId="77777777" w:rsidR="00C560B3" w:rsidRPr="009879F2" w:rsidRDefault="00C560B3" w:rsidP="00C560B3">
                  <w:pPr>
                    <w:rPr>
                      <w:color w:val="auto"/>
                      <w:sz w:val="22"/>
                      <w:szCs w:val="22"/>
                    </w:rPr>
                  </w:pPr>
                  <w:r>
                    <w:rPr>
                      <w:color w:val="auto"/>
                      <w:sz w:val="22"/>
                      <w:szCs w:val="22"/>
                    </w:rPr>
                    <w:t>5/15</w:t>
                  </w:r>
                </w:p>
              </w:tc>
              <w:tc>
                <w:tcPr>
                  <w:tcW w:w="720" w:type="dxa"/>
                </w:tcPr>
                <w:p w14:paraId="3B265E57" w14:textId="77777777" w:rsidR="00C560B3" w:rsidRPr="009879F2" w:rsidRDefault="00C560B3" w:rsidP="00C560B3">
                  <w:pPr>
                    <w:rPr>
                      <w:color w:val="auto"/>
                      <w:sz w:val="22"/>
                      <w:szCs w:val="22"/>
                    </w:rPr>
                  </w:pPr>
                  <w:r>
                    <w:rPr>
                      <w:color w:val="auto"/>
                      <w:sz w:val="22"/>
                      <w:szCs w:val="22"/>
                    </w:rPr>
                    <w:t>33%</w:t>
                  </w:r>
                </w:p>
              </w:tc>
            </w:tr>
          </w:tbl>
          <w:p w14:paraId="50F7ABBB" w14:textId="47A6F658" w:rsidR="002C4AC0" w:rsidRPr="002C4AC0" w:rsidRDefault="002C4AC0">
            <w:pPr>
              <w:rPr>
                <w:b/>
                <w:color w:val="1F497D" w:themeColor="text2"/>
                <w:sz w:val="28"/>
                <w:szCs w:val="28"/>
              </w:rPr>
            </w:pPr>
          </w:p>
          <w:p w14:paraId="2AB361D7" w14:textId="77777777" w:rsidR="002C4AC0" w:rsidRDefault="002C4AC0"/>
          <w:p w14:paraId="040E26C3" w14:textId="2D6AB6D0" w:rsidR="002C4AC0" w:rsidRDefault="002C4AC0"/>
          <w:p w14:paraId="2215AFDA" w14:textId="0229825D" w:rsidR="002C4AC0" w:rsidRDefault="00B776D9">
            <w:pPr>
              <w:rPr>
                <w:u w:val="single"/>
              </w:rPr>
            </w:pPr>
            <w:r w:rsidRPr="00B776D9">
              <w:rPr>
                <w:noProof/>
                <w:u w:val="single"/>
              </w:rPr>
              <w:drawing>
                <wp:anchor distT="0" distB="0" distL="114300" distR="114300" simplePos="0" relativeHeight="251660288" behindDoc="1" locked="0" layoutInCell="1" allowOverlap="1" wp14:anchorId="6882167B" wp14:editId="308EAC5A">
                  <wp:simplePos x="0" y="0"/>
                  <wp:positionH relativeFrom="column">
                    <wp:posOffset>503555</wp:posOffset>
                  </wp:positionH>
                  <wp:positionV relativeFrom="paragraph">
                    <wp:posOffset>333375</wp:posOffset>
                  </wp:positionV>
                  <wp:extent cx="3834765" cy="2748915"/>
                  <wp:effectExtent l="0" t="0" r="0" b="0"/>
                  <wp:wrapTight wrapText="bothSides">
                    <wp:wrapPolygon edited="0">
                      <wp:start x="0" y="0"/>
                      <wp:lineTo x="0" y="21405"/>
                      <wp:lineTo x="21461" y="2140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34765" cy="2748915"/>
                          </a:xfrm>
                          <a:prstGeom prst="rect">
                            <a:avLst/>
                          </a:prstGeom>
                        </pic:spPr>
                      </pic:pic>
                    </a:graphicData>
                  </a:graphic>
                  <wp14:sizeRelH relativeFrom="page">
                    <wp14:pctWidth>0</wp14:pctWidth>
                  </wp14:sizeRelH>
                  <wp14:sizeRelV relativeFrom="page">
                    <wp14:pctHeight>0</wp14:pctHeight>
                  </wp14:sizeRelV>
                </wp:anchor>
              </w:drawing>
            </w:r>
            <w:r w:rsidR="002C4AC0" w:rsidRPr="002C4AC0">
              <w:rPr>
                <w:u w:val="single"/>
              </w:rPr>
              <w:t>2019 National Assessments</w:t>
            </w:r>
          </w:p>
          <w:p w14:paraId="0D7AE4FB" w14:textId="22984A65" w:rsidR="00B776D9" w:rsidRDefault="00B776D9">
            <w:pPr>
              <w:rPr>
                <w:u w:val="single"/>
              </w:rPr>
            </w:pPr>
          </w:p>
          <w:p w14:paraId="476AB791" w14:textId="5CEC7453" w:rsidR="00B776D9" w:rsidRDefault="00B776D9">
            <w:pPr>
              <w:rPr>
                <w:u w:val="single"/>
              </w:rPr>
            </w:pPr>
          </w:p>
          <w:p w14:paraId="7637782E" w14:textId="39CBD434" w:rsidR="00B776D9" w:rsidRDefault="00B776D9">
            <w:pPr>
              <w:rPr>
                <w:u w:val="single"/>
              </w:rPr>
            </w:pPr>
          </w:p>
          <w:p w14:paraId="5B989672" w14:textId="4280E648" w:rsidR="00B776D9" w:rsidRDefault="00B776D9">
            <w:pPr>
              <w:rPr>
                <w:u w:val="single"/>
              </w:rPr>
            </w:pPr>
          </w:p>
          <w:p w14:paraId="660F29FA" w14:textId="7F472E91" w:rsidR="00B776D9" w:rsidRDefault="00B776D9">
            <w:pPr>
              <w:rPr>
                <w:u w:val="single"/>
              </w:rPr>
            </w:pPr>
          </w:p>
          <w:p w14:paraId="68D25CCC" w14:textId="6EBA52E0" w:rsidR="00B776D9" w:rsidRDefault="00B776D9">
            <w:pPr>
              <w:rPr>
                <w:u w:val="single"/>
              </w:rPr>
            </w:pPr>
          </w:p>
          <w:p w14:paraId="7D0A3B48" w14:textId="49EFE1D6" w:rsidR="00B776D9" w:rsidRDefault="00B776D9">
            <w:pPr>
              <w:rPr>
                <w:u w:val="single"/>
              </w:rPr>
            </w:pPr>
          </w:p>
          <w:p w14:paraId="12B7AB48" w14:textId="331A78F4" w:rsidR="00B776D9" w:rsidRDefault="00B776D9">
            <w:pPr>
              <w:rPr>
                <w:u w:val="single"/>
              </w:rPr>
            </w:pPr>
          </w:p>
          <w:p w14:paraId="199F0840" w14:textId="74AC5DD9" w:rsidR="00B776D9" w:rsidRDefault="00B776D9">
            <w:pPr>
              <w:rPr>
                <w:u w:val="single"/>
              </w:rPr>
            </w:pPr>
            <w:r w:rsidRPr="00B776D9">
              <w:rPr>
                <w:noProof/>
                <w:u w:val="single"/>
              </w:rPr>
              <w:drawing>
                <wp:inline distT="0" distB="0" distL="0" distR="0" wp14:anchorId="13994C04" wp14:editId="22CD7685">
                  <wp:extent cx="5824982" cy="164211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34559" cy="1644810"/>
                          </a:xfrm>
                          <a:prstGeom prst="rect">
                            <a:avLst/>
                          </a:prstGeom>
                        </pic:spPr>
                      </pic:pic>
                    </a:graphicData>
                  </a:graphic>
                </wp:inline>
              </w:drawing>
            </w:r>
          </w:p>
          <w:p w14:paraId="2946B590" w14:textId="48D5A8AF" w:rsidR="00B776D9" w:rsidRDefault="00B776D9">
            <w:pPr>
              <w:rPr>
                <w:u w:val="single"/>
              </w:rPr>
            </w:pPr>
            <w:r w:rsidRPr="00B776D9">
              <w:rPr>
                <w:noProof/>
                <w:u w:val="single"/>
              </w:rPr>
              <w:drawing>
                <wp:inline distT="0" distB="0" distL="0" distR="0" wp14:anchorId="47B52BAC" wp14:editId="60367D83">
                  <wp:extent cx="3872865" cy="18102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87545" cy="1817125"/>
                          </a:xfrm>
                          <a:prstGeom prst="rect">
                            <a:avLst/>
                          </a:prstGeom>
                        </pic:spPr>
                      </pic:pic>
                    </a:graphicData>
                  </a:graphic>
                </wp:inline>
              </w:drawing>
            </w:r>
          </w:p>
          <w:p w14:paraId="2A7D5546" w14:textId="4C64BE7A" w:rsidR="00B776D9" w:rsidRPr="002C4AC0" w:rsidRDefault="00FB76CB">
            <w:pPr>
              <w:rPr>
                <w:u w:val="single"/>
              </w:rPr>
            </w:pPr>
            <w:r w:rsidRPr="00FB76CB">
              <w:rPr>
                <w:noProof/>
                <w:u w:val="single"/>
              </w:rPr>
              <w:lastRenderedPageBreak/>
              <w:drawing>
                <wp:inline distT="0" distB="0" distL="0" distR="0" wp14:anchorId="13A43344" wp14:editId="1ABB8BC2">
                  <wp:extent cx="4280395" cy="152781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09959" cy="1538362"/>
                          </a:xfrm>
                          <a:prstGeom prst="rect">
                            <a:avLst/>
                          </a:prstGeom>
                        </pic:spPr>
                      </pic:pic>
                    </a:graphicData>
                  </a:graphic>
                </wp:inline>
              </w:drawing>
            </w:r>
          </w:p>
        </w:tc>
      </w:tr>
    </w:tbl>
    <w:p w14:paraId="2A7D5549" w14:textId="7639853F" w:rsidR="00E66558" w:rsidRPr="00FB76CB" w:rsidRDefault="009D71E8" w:rsidP="00FB76CB">
      <w:pPr>
        <w:pStyle w:val="Heading2"/>
        <w:spacing w:before="600"/>
      </w:pPr>
      <w:r>
        <w:lastRenderedPageBreak/>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17B6FEB" w:rsidR="00E66558" w:rsidRPr="00FB76CB" w:rsidRDefault="00B776D9">
            <w:pPr>
              <w:pStyle w:val="TableRow"/>
              <w:rPr>
                <w:sz w:val="22"/>
                <w:szCs w:val="22"/>
              </w:rPr>
            </w:pPr>
            <w:r w:rsidRPr="00FB76CB">
              <w:rPr>
                <w:sz w:val="22"/>
                <w:szCs w:val="22"/>
              </w:rPr>
              <w:t>White Rose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B3D7AAF" w:rsidR="00E66558" w:rsidRPr="00FB76CB" w:rsidRDefault="00B776D9">
            <w:pPr>
              <w:pStyle w:val="TableRowCentered"/>
              <w:jc w:val="left"/>
              <w:rPr>
                <w:sz w:val="22"/>
                <w:szCs w:val="22"/>
              </w:rPr>
            </w:pPr>
            <w:r w:rsidRPr="00FB76CB">
              <w:rPr>
                <w:sz w:val="22"/>
                <w:szCs w:val="22"/>
              </w:rPr>
              <w:t>School</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BEBC912" w:rsidR="00E66558" w:rsidRPr="00FB76CB" w:rsidRDefault="00B776D9">
            <w:pPr>
              <w:pStyle w:val="TableRow"/>
              <w:rPr>
                <w:sz w:val="22"/>
                <w:szCs w:val="22"/>
              </w:rPr>
            </w:pPr>
            <w:r w:rsidRPr="00FB76CB">
              <w:rPr>
                <w:sz w:val="22"/>
                <w:szCs w:val="22"/>
              </w:rPr>
              <w:t>Nuffield Early Language Intervention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841ECC5" w:rsidR="00E66558" w:rsidRPr="00FB76CB" w:rsidRDefault="00B776D9">
            <w:pPr>
              <w:pStyle w:val="TableRowCentered"/>
              <w:jc w:val="left"/>
              <w:rPr>
                <w:sz w:val="22"/>
                <w:szCs w:val="22"/>
              </w:rPr>
            </w:pPr>
            <w:r w:rsidRPr="00FB76CB">
              <w:rPr>
                <w:sz w:val="22"/>
                <w:szCs w:val="22"/>
              </w:rPr>
              <w:t>School</w:t>
            </w:r>
          </w:p>
        </w:tc>
      </w:tr>
      <w:tr w:rsidR="00B776D9" w14:paraId="1C4A5FF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3E71" w14:textId="312E50D4" w:rsidR="00B776D9" w:rsidRPr="00FB76CB" w:rsidRDefault="00B776D9">
            <w:pPr>
              <w:pStyle w:val="TableRow"/>
              <w:rPr>
                <w:sz w:val="22"/>
                <w:szCs w:val="22"/>
              </w:rPr>
            </w:pPr>
            <w:r w:rsidRPr="00FB76CB">
              <w:rPr>
                <w:sz w:val="22"/>
                <w:szCs w:val="22"/>
              </w:rPr>
              <w:t>The Oracy Project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E4718" w14:textId="14CB66FD" w:rsidR="00B776D9" w:rsidRPr="00FB76CB" w:rsidRDefault="00B776D9">
            <w:pPr>
              <w:pStyle w:val="TableRowCentered"/>
              <w:jc w:val="left"/>
              <w:rPr>
                <w:sz w:val="22"/>
                <w:szCs w:val="22"/>
              </w:rPr>
            </w:pPr>
            <w:r w:rsidRPr="00FB76CB">
              <w:rPr>
                <w:sz w:val="22"/>
                <w:szCs w:val="22"/>
              </w:rPr>
              <w:t>WCC</w:t>
            </w:r>
          </w:p>
        </w:tc>
      </w:tr>
      <w:tr w:rsidR="00B776D9" w14:paraId="7D569FC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AC3E8" w14:textId="33733F08" w:rsidR="00B776D9" w:rsidRPr="00FB76CB" w:rsidRDefault="00B776D9">
            <w:pPr>
              <w:pStyle w:val="TableRow"/>
              <w:rPr>
                <w:sz w:val="22"/>
                <w:szCs w:val="22"/>
              </w:rPr>
            </w:pPr>
            <w:r w:rsidRPr="00FB76CB">
              <w:rPr>
                <w:sz w:val="22"/>
                <w:szCs w:val="22"/>
              </w:rPr>
              <w:t>Little Wandle’s Letter &amp; Sounds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A5E0B" w14:textId="6A02FE0F" w:rsidR="00B776D9" w:rsidRPr="00FB76CB" w:rsidRDefault="00B776D9">
            <w:pPr>
              <w:pStyle w:val="TableRowCentered"/>
              <w:jc w:val="left"/>
              <w:rPr>
                <w:sz w:val="22"/>
                <w:szCs w:val="22"/>
              </w:rPr>
            </w:pPr>
            <w:r w:rsidRPr="00FB76CB">
              <w:rPr>
                <w:sz w:val="22"/>
                <w:szCs w:val="22"/>
              </w:rPr>
              <w:t>School</w:t>
            </w:r>
          </w:p>
        </w:tc>
      </w:tr>
    </w:tbl>
    <w:p w14:paraId="2A7D5554" w14:textId="0AA23EC2" w:rsidR="00E66558" w:rsidRPr="00FB76CB" w:rsidRDefault="009D71E8" w:rsidP="00FB76CB">
      <w:pPr>
        <w:pStyle w:val="Heading2"/>
        <w:spacing w:before="600"/>
      </w:pPr>
      <w:r>
        <w:t xml:space="preserve">Service </w:t>
      </w:r>
      <w:r w:rsidR="00FB76CB">
        <w:t>pupil premium funding</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4127F" w14:textId="77777777" w:rsidR="00E66558" w:rsidRPr="00FB76CB" w:rsidRDefault="00FB76CB">
            <w:pPr>
              <w:pStyle w:val="TableRowCentered"/>
              <w:jc w:val="left"/>
              <w:rPr>
                <w:sz w:val="22"/>
                <w:szCs w:val="22"/>
              </w:rPr>
            </w:pPr>
            <w:r w:rsidRPr="00FB76CB">
              <w:rPr>
                <w:sz w:val="22"/>
                <w:szCs w:val="22"/>
              </w:rPr>
              <w:t xml:space="preserve">There were 4 children in receipt of service pupil premium funding in the last academic year. </w:t>
            </w:r>
          </w:p>
          <w:p w14:paraId="2A7D5559" w14:textId="3F75CBB1" w:rsidR="00FB76CB" w:rsidRDefault="00FB76CB">
            <w:pPr>
              <w:pStyle w:val="TableRowCentered"/>
              <w:jc w:val="left"/>
            </w:pPr>
            <w:r w:rsidRPr="00FB76CB">
              <w:rPr>
                <w:sz w:val="22"/>
                <w:szCs w:val="22"/>
              </w:rPr>
              <w:t>Strategies funded by this allocation including SALT intervention with a TA</w:t>
            </w:r>
            <w:r>
              <w:rPr>
                <w:sz w:val="22"/>
                <w:szCs w:val="22"/>
              </w:rPr>
              <w:t>, ELSA support</w:t>
            </w:r>
            <w:r w:rsidRPr="00FB76CB">
              <w:rPr>
                <w:sz w:val="22"/>
                <w:szCs w:val="22"/>
              </w:rPr>
              <w:t xml:space="preserve"> and funding extra- curricular activities including music tuition.</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03804" w14:textId="77777777" w:rsidR="00E66558" w:rsidRPr="00FB76CB" w:rsidRDefault="00FB76CB">
            <w:pPr>
              <w:pStyle w:val="TableRowCentered"/>
              <w:jc w:val="left"/>
              <w:rPr>
                <w:sz w:val="22"/>
                <w:szCs w:val="22"/>
              </w:rPr>
            </w:pPr>
            <w:r w:rsidRPr="00FB76CB">
              <w:rPr>
                <w:sz w:val="22"/>
                <w:szCs w:val="22"/>
              </w:rPr>
              <w:t xml:space="preserve">All pupils are non-mobile and have attended the school for many years. When required they have access to intervention available to all. </w:t>
            </w:r>
          </w:p>
          <w:p w14:paraId="2A7D555C" w14:textId="5B1DCBE1" w:rsidR="00FB76CB" w:rsidRDefault="00FB76CB">
            <w:pPr>
              <w:pStyle w:val="TableRowCentered"/>
              <w:jc w:val="left"/>
            </w:pPr>
            <w:r w:rsidRPr="00FB76CB">
              <w:rPr>
                <w:sz w:val="22"/>
                <w:szCs w:val="22"/>
              </w:rPr>
              <w:t>75% of pupils are achieving at expected or greater than expected than their peers.</w:t>
            </w:r>
          </w:p>
        </w:tc>
      </w:tr>
      <w:bookmarkEnd w:id="18"/>
    </w:tbl>
    <w:p w14:paraId="2A7D555E" w14:textId="77777777" w:rsidR="00E66558" w:rsidRDefault="00E66558"/>
    <w:bookmarkEnd w:id="14"/>
    <w:bookmarkEnd w:id="15"/>
    <w:bookmarkEnd w:id="16"/>
    <w:p w14:paraId="2A7D555F" w14:textId="77777777" w:rsidR="00E66558" w:rsidRDefault="00E66558">
      <w:pPr>
        <w:spacing w:after="0" w:line="240" w:lineRule="auto"/>
      </w:pPr>
    </w:p>
    <w:sectPr w:rsidR="00E66558">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627EC" w14:textId="77777777" w:rsidR="002822D5" w:rsidRDefault="002822D5">
      <w:pPr>
        <w:spacing w:after="0" w:line="240" w:lineRule="auto"/>
      </w:pPr>
      <w:r>
        <w:separator/>
      </w:r>
    </w:p>
  </w:endnote>
  <w:endnote w:type="continuationSeparator" w:id="0">
    <w:p w14:paraId="09A45C43" w14:textId="77777777" w:rsidR="002822D5" w:rsidRDefault="0028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09CD641" w:rsidR="005E28A4" w:rsidRDefault="009D71E8">
    <w:pPr>
      <w:pStyle w:val="Footer"/>
      <w:ind w:firstLine="4513"/>
    </w:pPr>
    <w:r>
      <w:fldChar w:fldCharType="begin"/>
    </w:r>
    <w:r>
      <w:instrText xml:space="preserve"> PAGE </w:instrText>
    </w:r>
    <w:r>
      <w:fldChar w:fldCharType="separate"/>
    </w:r>
    <w:r w:rsidR="00C85A6C">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0690D" w14:textId="77777777" w:rsidR="002822D5" w:rsidRDefault="002822D5">
      <w:pPr>
        <w:spacing w:after="0" w:line="240" w:lineRule="auto"/>
      </w:pPr>
      <w:r>
        <w:separator/>
      </w:r>
    </w:p>
  </w:footnote>
  <w:footnote w:type="continuationSeparator" w:id="0">
    <w:p w14:paraId="1E43C378" w14:textId="77777777" w:rsidR="002822D5" w:rsidRDefault="00282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D7B5952"/>
    <w:multiLevelType w:val="hybridMultilevel"/>
    <w:tmpl w:val="E070CAEA"/>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65AF"/>
    <w:rsid w:val="00061533"/>
    <w:rsid w:val="00066B73"/>
    <w:rsid w:val="000D6708"/>
    <w:rsid w:val="00120AB1"/>
    <w:rsid w:val="00224FCD"/>
    <w:rsid w:val="002822D5"/>
    <w:rsid w:val="002B1F68"/>
    <w:rsid w:val="002C4AC0"/>
    <w:rsid w:val="002D4665"/>
    <w:rsid w:val="00342F9E"/>
    <w:rsid w:val="00390375"/>
    <w:rsid w:val="004044AA"/>
    <w:rsid w:val="00417BF8"/>
    <w:rsid w:val="00561459"/>
    <w:rsid w:val="00612785"/>
    <w:rsid w:val="00673EDA"/>
    <w:rsid w:val="006B5704"/>
    <w:rsid w:val="006E7FB1"/>
    <w:rsid w:val="006F0FDF"/>
    <w:rsid w:val="00701F55"/>
    <w:rsid w:val="00741B9E"/>
    <w:rsid w:val="00750D82"/>
    <w:rsid w:val="00757862"/>
    <w:rsid w:val="007B5043"/>
    <w:rsid w:val="007C2F04"/>
    <w:rsid w:val="007F09F7"/>
    <w:rsid w:val="008C66D4"/>
    <w:rsid w:val="00951019"/>
    <w:rsid w:val="009879F2"/>
    <w:rsid w:val="009C1867"/>
    <w:rsid w:val="009D71E8"/>
    <w:rsid w:val="009E56C2"/>
    <w:rsid w:val="00A458CB"/>
    <w:rsid w:val="00A47B67"/>
    <w:rsid w:val="00AA4201"/>
    <w:rsid w:val="00AD4FA8"/>
    <w:rsid w:val="00AE55B8"/>
    <w:rsid w:val="00B776D9"/>
    <w:rsid w:val="00B95BA6"/>
    <w:rsid w:val="00C560B3"/>
    <w:rsid w:val="00C66A5C"/>
    <w:rsid w:val="00C85A6C"/>
    <w:rsid w:val="00CD7957"/>
    <w:rsid w:val="00CE09B2"/>
    <w:rsid w:val="00D33FE5"/>
    <w:rsid w:val="00E66558"/>
    <w:rsid w:val="00F310CB"/>
    <w:rsid w:val="00FB7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AC0"/>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CE09B2"/>
    <w:pPr>
      <w:suppressAutoHyphens/>
    </w:pPr>
    <w:rPr>
      <w:color w:val="0D0D0D"/>
      <w:sz w:val="24"/>
      <w:szCs w:val="24"/>
    </w:rPr>
  </w:style>
  <w:style w:type="table" w:styleId="TableGrid">
    <w:name w:val="Table Grid"/>
    <w:basedOn w:val="TableNormal"/>
    <w:uiPriority w:val="39"/>
    <w:rsid w:val="002C4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10</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Head Urchfont</cp:lastModifiedBy>
  <cp:revision>7</cp:revision>
  <cp:lastPrinted>2014-09-17T13:26:00Z</cp:lastPrinted>
  <dcterms:created xsi:type="dcterms:W3CDTF">2021-11-19T11:31:00Z</dcterms:created>
  <dcterms:modified xsi:type="dcterms:W3CDTF">2021-11-24T11:25:00Z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